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A0" w:rsidRPr="00F320A0" w:rsidRDefault="00F320A0" w:rsidP="00F320A0">
      <w:pPr>
        <w:pStyle w:val="21"/>
        <w:tabs>
          <w:tab w:val="left" w:pos="851"/>
          <w:tab w:val="left" w:leader="underscore" w:pos="5463"/>
          <w:tab w:val="left" w:leader="underscore" w:pos="6860"/>
        </w:tabs>
        <w:spacing w:line="240" w:lineRule="auto"/>
        <w:ind w:left="5103" w:firstLine="0"/>
        <w:jc w:val="left"/>
        <w:rPr>
          <w:sz w:val="28"/>
          <w:szCs w:val="28"/>
        </w:rPr>
      </w:pPr>
      <w:r w:rsidRPr="00F320A0">
        <w:rPr>
          <w:sz w:val="28"/>
          <w:szCs w:val="28"/>
        </w:rPr>
        <w:t>Approved by the order of the Chairman of the Committee on Statistics of the Ministry of National Economy of the Republic of Kazakhstan</w:t>
      </w:r>
    </w:p>
    <w:p w:rsidR="005A6EF5" w:rsidRPr="00BF4D07" w:rsidRDefault="00F320A0" w:rsidP="00F320A0">
      <w:pPr>
        <w:pStyle w:val="21"/>
        <w:shd w:val="clear" w:color="auto" w:fill="auto"/>
        <w:tabs>
          <w:tab w:val="left" w:pos="851"/>
          <w:tab w:val="left" w:leader="underscore" w:pos="5463"/>
          <w:tab w:val="left" w:leader="underscore" w:pos="6860"/>
        </w:tabs>
        <w:spacing w:before="0" w:line="240" w:lineRule="auto"/>
        <w:ind w:left="5103" w:firstLine="0"/>
        <w:jc w:val="left"/>
        <w:rPr>
          <w:sz w:val="28"/>
          <w:szCs w:val="28"/>
        </w:rPr>
      </w:pPr>
      <w:r w:rsidRPr="00F320A0">
        <w:rPr>
          <w:sz w:val="28"/>
          <w:szCs w:val="28"/>
        </w:rPr>
        <w:t>dated October 3, 2016 226</w:t>
      </w:r>
    </w:p>
    <w:p w:rsidR="005A6EF5" w:rsidRPr="00BF4D07" w:rsidRDefault="005A6EF5" w:rsidP="005A6EF5">
      <w:pPr>
        <w:tabs>
          <w:tab w:val="left" w:pos="851"/>
        </w:tabs>
        <w:spacing w:line="240" w:lineRule="auto"/>
        <w:rPr>
          <w:sz w:val="28"/>
          <w:szCs w:val="28"/>
        </w:rPr>
      </w:pPr>
    </w:p>
    <w:p w:rsidR="005A6EF5" w:rsidRPr="00BF4D07" w:rsidRDefault="005A6EF5" w:rsidP="005A6EF5">
      <w:pPr>
        <w:tabs>
          <w:tab w:val="left" w:pos="851"/>
        </w:tabs>
        <w:spacing w:line="240" w:lineRule="auto"/>
        <w:rPr>
          <w:sz w:val="28"/>
          <w:szCs w:val="28"/>
        </w:rPr>
      </w:pPr>
    </w:p>
    <w:p w:rsidR="005A6EF5" w:rsidRPr="002D7B83" w:rsidRDefault="005A6EF5" w:rsidP="005A6EF5">
      <w:pPr>
        <w:pStyle w:val="2"/>
        <w:suppressAutoHyphens/>
        <w:rPr>
          <w:szCs w:val="28"/>
          <w:lang w:val="en-US"/>
        </w:rPr>
      </w:pPr>
      <w:r w:rsidRPr="002D7B83">
        <w:rPr>
          <w:szCs w:val="28"/>
          <w:lang w:val="en-US"/>
        </w:rPr>
        <w:t>Methodology for accounting for financial services of second-tier banks</w:t>
      </w:r>
    </w:p>
    <w:p w:rsidR="005A6EF5" w:rsidRPr="002D7B83" w:rsidRDefault="005A6EF5" w:rsidP="005A6EF5">
      <w:pPr>
        <w:pStyle w:val="2"/>
        <w:suppressAutoHyphens/>
        <w:rPr>
          <w:b w:val="0"/>
          <w:szCs w:val="28"/>
          <w:lang w:val="en-US"/>
        </w:rPr>
      </w:pPr>
    </w:p>
    <w:p w:rsidR="005A6EF5" w:rsidRPr="002D7B83" w:rsidRDefault="005A6EF5" w:rsidP="005A6EF5">
      <w:pPr>
        <w:pStyle w:val="2"/>
        <w:suppressAutoHyphens/>
        <w:rPr>
          <w:b w:val="0"/>
          <w:szCs w:val="28"/>
          <w:lang w:val="en-US"/>
        </w:rPr>
      </w:pPr>
    </w:p>
    <w:p w:rsidR="005A6EF5" w:rsidRPr="00BF4D07" w:rsidRDefault="005A6EF5" w:rsidP="005A6EF5">
      <w:pPr>
        <w:pStyle w:val="a9"/>
        <w:tabs>
          <w:tab w:val="left" w:pos="851"/>
        </w:tabs>
        <w:spacing w:line="240" w:lineRule="auto"/>
        <w:ind w:firstLine="0"/>
        <w:jc w:val="center"/>
        <w:rPr>
          <w:b/>
          <w:sz w:val="28"/>
          <w:szCs w:val="28"/>
        </w:rPr>
      </w:pPr>
      <w:r>
        <w:rPr>
          <w:b/>
          <w:sz w:val="28"/>
          <w:szCs w:val="28"/>
        </w:rPr>
        <w:t xml:space="preserve">Chapter 1. General </w:t>
      </w:r>
      <w:r w:rsidR="002D7B83">
        <w:rPr>
          <w:b/>
          <w:sz w:val="28"/>
          <w:szCs w:val="28"/>
          <w:lang w:val="en-US"/>
        </w:rPr>
        <w:t>p</w:t>
      </w:r>
      <w:r>
        <w:rPr>
          <w:b/>
          <w:sz w:val="28"/>
          <w:szCs w:val="28"/>
        </w:rPr>
        <w:t>rovisions</w:t>
      </w:r>
    </w:p>
    <w:p w:rsidR="005A6EF5" w:rsidRPr="00BF4D07" w:rsidRDefault="005A6EF5" w:rsidP="005A6EF5">
      <w:pPr>
        <w:pStyle w:val="a9"/>
        <w:tabs>
          <w:tab w:val="left" w:pos="851"/>
        </w:tabs>
        <w:spacing w:line="240" w:lineRule="auto"/>
        <w:jc w:val="center"/>
        <w:rPr>
          <w:b/>
          <w:sz w:val="28"/>
          <w:szCs w:val="28"/>
        </w:rPr>
      </w:pPr>
    </w:p>
    <w:p w:rsidR="005A6EF5" w:rsidRPr="002D7B83" w:rsidRDefault="005A6EF5" w:rsidP="005A6EF5">
      <w:pPr>
        <w:pStyle w:val="2"/>
        <w:suppressAutoHyphens/>
        <w:ind w:firstLine="709"/>
        <w:jc w:val="both"/>
        <w:rPr>
          <w:b w:val="0"/>
          <w:szCs w:val="28"/>
          <w:lang w:val="en-US" w:eastAsia="ru-RU"/>
        </w:rPr>
      </w:pPr>
      <w:r w:rsidRPr="002D7B83">
        <w:rPr>
          <w:b w:val="0"/>
          <w:szCs w:val="28"/>
          <w:lang w:val="en-US" w:eastAsia="ru-RU"/>
        </w:rPr>
        <w:t>1. The methodology for accounting for financial services of second-tier banks (hereinafter - the Methodology) was developed in accordance with the Law of the Republic of Kazakhstan dated March 19, 2010 "On State Statistics" (hereinafter - the Law).</w:t>
      </w:r>
    </w:p>
    <w:p w:rsidR="005A6EF5" w:rsidRPr="002D7B83" w:rsidRDefault="005A6EF5" w:rsidP="005A6EF5">
      <w:pPr>
        <w:pStyle w:val="2"/>
        <w:suppressAutoHyphens/>
        <w:ind w:firstLine="709"/>
        <w:jc w:val="both"/>
        <w:rPr>
          <w:b w:val="0"/>
          <w:bCs/>
          <w:kern w:val="32"/>
          <w:szCs w:val="28"/>
          <w:lang w:val="en-US"/>
        </w:rPr>
      </w:pPr>
      <w:r w:rsidRPr="002D7B83">
        <w:rPr>
          <w:b w:val="0"/>
          <w:szCs w:val="28"/>
          <w:lang w:val="en-US" w:eastAsia="ru-RU"/>
        </w:rPr>
        <w:t xml:space="preserve">2. </w:t>
      </w:r>
      <w:r w:rsidRPr="002D7B83">
        <w:rPr>
          <w:b w:val="0"/>
          <w:szCs w:val="28"/>
          <w:lang w:val="en-US"/>
        </w:rPr>
        <w:t xml:space="preserve">This Methodology is applied by the Statistics Committee of the Ministry of </w:t>
      </w:r>
      <w:r w:rsidRPr="002D7B83">
        <w:rPr>
          <w:b w:val="0"/>
          <w:bCs/>
          <w:kern w:val="32"/>
          <w:szCs w:val="28"/>
          <w:lang w:val="en-US"/>
        </w:rPr>
        <w:t>National Economy of the Republic of Kazakhstan (hereinafter - the Committee) to record the financial services of second-tier banks, in accordance with international standards, and exclusively for the purposes of the System of National Accounts (hereinafter - SNA).</w:t>
      </w:r>
    </w:p>
    <w:p w:rsidR="005A6EF5" w:rsidRPr="002D7B83" w:rsidRDefault="005A6EF5" w:rsidP="005A6EF5">
      <w:pPr>
        <w:pStyle w:val="2"/>
        <w:suppressAutoHyphens/>
        <w:ind w:firstLine="709"/>
        <w:jc w:val="both"/>
        <w:rPr>
          <w:b w:val="0"/>
          <w:bCs/>
          <w:kern w:val="32"/>
          <w:szCs w:val="28"/>
          <w:lang w:val="en-US"/>
        </w:rPr>
      </w:pPr>
      <w:r w:rsidRPr="002D7B83">
        <w:rPr>
          <w:b w:val="0"/>
          <w:bCs/>
          <w:kern w:val="32"/>
          <w:szCs w:val="28"/>
          <w:lang w:val="en-US"/>
        </w:rPr>
        <w:t>3. The purpose of this Methodology is to bring the calculations of financial services of second-tier banks in line with the new economic situation and the latest achievements in methodological research. This Methodology helps to improve the quality of calculating the gross value added of subsection 64 “Financial services, except for services of insurance and pension funds” in section K “Financial and insurance activities”.</w:t>
      </w:r>
    </w:p>
    <w:p w:rsidR="005A6EF5" w:rsidRPr="00366BF6" w:rsidRDefault="005A6EF5" w:rsidP="005A6EF5">
      <w:pPr>
        <w:numPr>
          <w:ilvl w:val="0"/>
          <w:numId w:val="2"/>
        </w:numPr>
        <w:tabs>
          <w:tab w:val="left" w:pos="851"/>
        </w:tabs>
        <w:spacing w:line="240" w:lineRule="auto"/>
        <w:ind w:left="0" w:firstLine="709"/>
        <w:rPr>
          <w:bCs/>
          <w:kern w:val="32"/>
          <w:sz w:val="28"/>
          <w:szCs w:val="28"/>
          <w:lang w:eastAsia="x-none"/>
        </w:rPr>
      </w:pPr>
      <w:r w:rsidRPr="00A5094D">
        <w:rPr>
          <w:bCs/>
          <w:kern w:val="32"/>
          <w:sz w:val="28"/>
          <w:szCs w:val="28"/>
          <w:lang w:eastAsia="x-none"/>
        </w:rPr>
        <w:t>The System of National Accounts 2008 (2008 SNA) prepared by the International Monetary Fund (IMF), the Organization for Economic Co-operation and Development (OECD), the Statistical Office of the European Communities (Eurostat), the United Nations (UN) and the World Bank was used as a methodological basis.</w:t>
      </w:r>
    </w:p>
    <w:p w:rsidR="005A6EF5" w:rsidRPr="00BF4D07" w:rsidRDefault="005A6EF5" w:rsidP="005A6EF5">
      <w:pPr>
        <w:spacing w:line="240" w:lineRule="auto"/>
        <w:ind w:firstLine="708"/>
        <w:rPr>
          <w:sz w:val="28"/>
          <w:szCs w:val="28"/>
        </w:rPr>
      </w:pPr>
      <w:r>
        <w:rPr>
          <w:sz w:val="28"/>
          <w:szCs w:val="28"/>
        </w:rPr>
        <w:t>5. The following definitions are used in this Methodology:</w:t>
      </w:r>
    </w:p>
    <w:p w:rsidR="005A6EF5" w:rsidRDefault="005A6EF5" w:rsidP="005A6EF5">
      <w:pPr>
        <w:spacing w:line="240" w:lineRule="auto"/>
        <w:ind w:firstLine="708"/>
        <w:rPr>
          <w:sz w:val="28"/>
          <w:szCs w:val="28"/>
        </w:rPr>
      </w:pPr>
      <w:r w:rsidRPr="00BF4D07">
        <w:rPr>
          <w:sz w:val="28"/>
          <w:szCs w:val="28"/>
        </w:rPr>
        <w:t>1) intermediate consumption (I</w:t>
      </w:r>
      <w:r w:rsidR="002D7B83">
        <w:rPr>
          <w:sz w:val="28"/>
          <w:szCs w:val="28"/>
        </w:rPr>
        <w:t>C</w:t>
      </w:r>
      <w:r w:rsidRPr="00BF4D07">
        <w:rPr>
          <w:sz w:val="28"/>
          <w:szCs w:val="28"/>
        </w:rPr>
        <w:t>) - the cost of goods and services that are transformed or completely consumed in the production process in the reporting period. The consumption of fixed capital is not included in intermediate consumption;</w:t>
      </w:r>
    </w:p>
    <w:p w:rsidR="005A6EF5" w:rsidRDefault="005A6EF5" w:rsidP="005A6EF5">
      <w:pPr>
        <w:spacing w:line="240" w:lineRule="auto"/>
        <w:ind w:firstLine="708"/>
        <w:rPr>
          <w:sz w:val="28"/>
          <w:szCs w:val="28"/>
        </w:rPr>
      </w:pPr>
      <w:r w:rsidRPr="00BF4D07">
        <w:rPr>
          <w:sz w:val="28"/>
          <w:szCs w:val="28"/>
        </w:rPr>
        <w:t xml:space="preserve"> </w:t>
      </w:r>
    </w:p>
    <w:p w:rsidR="005A6EF5" w:rsidRPr="00BF4D07" w:rsidRDefault="005A6EF5" w:rsidP="005A6EF5">
      <w:pPr>
        <w:spacing w:line="240" w:lineRule="auto"/>
        <w:ind w:firstLine="708"/>
        <w:rPr>
          <w:sz w:val="28"/>
          <w:szCs w:val="28"/>
        </w:rPr>
      </w:pPr>
      <w:r>
        <w:rPr>
          <w:sz w:val="28"/>
          <w:szCs w:val="28"/>
        </w:rPr>
        <w:t xml:space="preserve">2) gross value added (GVA) - characterizes the final result of production activity and represents the value added by processing in this production process. Calculated at </w:t>
      </w:r>
      <w:r w:rsidRPr="007E6F65">
        <w:rPr>
          <w:sz w:val="28"/>
          <w:szCs w:val="28"/>
        </w:rPr>
        <w:t xml:space="preserve">the level of industries as the difference between the output of goods and services and intermediate consumption, includes </w:t>
      </w:r>
      <w:r>
        <w:rPr>
          <w:sz w:val="28"/>
          <w:szCs w:val="28"/>
        </w:rPr>
        <w:t>the cost of fixed capital consumed in the production process;</w:t>
      </w:r>
    </w:p>
    <w:p w:rsidR="005A6EF5" w:rsidRPr="00BF4D07" w:rsidRDefault="005A6EF5" w:rsidP="005A6EF5">
      <w:pPr>
        <w:spacing w:line="240" w:lineRule="auto"/>
        <w:ind w:firstLine="708"/>
        <w:rPr>
          <w:sz w:val="28"/>
          <w:szCs w:val="28"/>
        </w:rPr>
      </w:pPr>
      <w:r>
        <w:rPr>
          <w:sz w:val="28"/>
          <w:szCs w:val="28"/>
        </w:rPr>
        <w:lastRenderedPageBreak/>
        <w:t>3) gross domestic product (GDP) - one of the most important indicators of the system of national accounts, characterizing the final result of the country's economic activity;</w:t>
      </w:r>
    </w:p>
    <w:p w:rsidR="005A6EF5" w:rsidRPr="00BF4D07" w:rsidRDefault="005A6EF5" w:rsidP="005A6EF5">
      <w:pPr>
        <w:spacing w:line="240" w:lineRule="auto"/>
        <w:ind w:firstLine="708"/>
        <w:rPr>
          <w:sz w:val="28"/>
          <w:szCs w:val="28"/>
        </w:rPr>
      </w:pPr>
      <w:r>
        <w:rPr>
          <w:sz w:val="28"/>
          <w:szCs w:val="28"/>
        </w:rPr>
        <w:t>4) indirectly measured financial intermediation services (</w:t>
      </w:r>
      <w:r w:rsidR="002D7B83">
        <w:rPr>
          <w:sz w:val="28"/>
          <w:szCs w:val="28"/>
        </w:rPr>
        <w:t>IMFIE</w:t>
      </w:r>
      <w:r>
        <w:rPr>
          <w:sz w:val="28"/>
          <w:szCs w:val="28"/>
        </w:rPr>
        <w:t xml:space="preserve">) - </w:t>
      </w:r>
      <w:hyperlink r:id="rId7" w:tgtFrame="_blank" w:history="1">
        <w:r w:rsidRPr="00BF4D07">
          <w:rPr>
            <w:sz w:val="28"/>
            <w:szCs w:val="28"/>
          </w:rPr>
          <w:t>is an indirect indicator of the cost of financial intermediation services, provided that financial institutions do not charge direct fees for financial intermediation services;</w:t>
        </w:r>
      </w:hyperlink>
    </w:p>
    <w:p w:rsidR="005A6EF5" w:rsidRPr="00BF4D07" w:rsidRDefault="005A6EF5" w:rsidP="005A6EF5">
      <w:pPr>
        <w:spacing w:line="240" w:lineRule="auto"/>
        <w:ind w:firstLine="708"/>
        <w:rPr>
          <w:sz w:val="28"/>
          <w:szCs w:val="28"/>
        </w:rPr>
      </w:pPr>
      <w:r>
        <w:rPr>
          <w:sz w:val="28"/>
          <w:szCs w:val="28"/>
        </w:rPr>
        <w:t>5) system of national accounts - is a system of statistical indicators, built in the form of a specific set of accounts and tables that characterize the results of the country's economic activity.</w:t>
      </w:r>
    </w:p>
    <w:p w:rsidR="005A6EF5" w:rsidRPr="00BF4D07" w:rsidRDefault="005A6EF5" w:rsidP="005A6EF5">
      <w:pPr>
        <w:spacing w:line="240" w:lineRule="auto"/>
        <w:ind w:firstLine="0"/>
        <w:rPr>
          <w:sz w:val="28"/>
          <w:szCs w:val="28"/>
        </w:rPr>
      </w:pPr>
    </w:p>
    <w:p w:rsidR="005A6EF5" w:rsidRPr="00BF4D07" w:rsidRDefault="005A6EF5" w:rsidP="005A6EF5">
      <w:pPr>
        <w:spacing w:line="240" w:lineRule="auto"/>
        <w:ind w:firstLine="0"/>
        <w:rPr>
          <w:sz w:val="28"/>
          <w:szCs w:val="28"/>
        </w:rPr>
      </w:pPr>
    </w:p>
    <w:p w:rsidR="005A6EF5" w:rsidRPr="00BF4D07" w:rsidRDefault="005A6EF5" w:rsidP="005A6EF5">
      <w:pPr>
        <w:spacing w:line="240" w:lineRule="auto"/>
        <w:jc w:val="center"/>
        <w:rPr>
          <w:b/>
          <w:sz w:val="28"/>
          <w:szCs w:val="28"/>
        </w:rPr>
      </w:pPr>
      <w:r>
        <w:rPr>
          <w:rStyle w:val="longtext"/>
          <w:b/>
          <w:sz w:val="28"/>
          <w:szCs w:val="28"/>
          <w:shd w:val="clear" w:color="auto" w:fill="FFFFFF"/>
        </w:rPr>
        <w:t>Chapter 2. Methodological approach to the calculation of financial services of second-tier banks in accordance with the 2008 SNA</w:t>
      </w:r>
    </w:p>
    <w:p w:rsidR="005A6EF5" w:rsidRPr="00BF4D07" w:rsidRDefault="005A6EF5" w:rsidP="005A6EF5">
      <w:pPr>
        <w:spacing w:line="240" w:lineRule="auto"/>
        <w:ind w:firstLine="0"/>
        <w:rPr>
          <w:b/>
          <w:sz w:val="28"/>
          <w:szCs w:val="28"/>
        </w:rPr>
      </w:pPr>
    </w:p>
    <w:p w:rsidR="005A6EF5" w:rsidRDefault="005A6EF5" w:rsidP="005A6EF5">
      <w:pPr>
        <w:spacing w:line="240" w:lineRule="auto"/>
        <w:ind w:firstLine="708"/>
        <w:rPr>
          <w:sz w:val="28"/>
          <w:szCs w:val="28"/>
        </w:rPr>
      </w:pPr>
      <w:r>
        <w:rPr>
          <w:sz w:val="28"/>
          <w:szCs w:val="28"/>
        </w:rPr>
        <w:t>6. Resident corporations or quasi-corporations engaged in financial intermediation, ancillary financial services and other financial services belong to the financial corporations sector.</w:t>
      </w:r>
    </w:p>
    <w:p w:rsidR="005A6EF5" w:rsidRPr="00BF4D07" w:rsidRDefault="005A6EF5" w:rsidP="005A6EF5">
      <w:pPr>
        <w:spacing w:line="240" w:lineRule="auto"/>
        <w:ind w:firstLine="708"/>
        <w:rPr>
          <w:sz w:val="28"/>
          <w:szCs w:val="28"/>
        </w:rPr>
      </w:pPr>
      <w:r w:rsidRPr="00BF4D07">
        <w:rPr>
          <w:sz w:val="28"/>
          <w:szCs w:val="28"/>
        </w:rPr>
        <w:t xml:space="preserve">In the 2008 SNA, financial services include services related to monitoring, </w:t>
      </w:r>
      <w:r>
        <w:rPr>
          <w:sz w:val="28"/>
          <w:szCs w:val="28"/>
          <w:lang w:val="kk-KZ"/>
        </w:rPr>
        <w:t xml:space="preserve">liquidity </w:t>
      </w:r>
      <w:r w:rsidRPr="00BF4D07">
        <w:rPr>
          <w:sz w:val="28"/>
          <w:szCs w:val="28"/>
        </w:rPr>
        <w:t>, risk-taking, securities placement services, and financial instrument exchange services.</w:t>
      </w:r>
    </w:p>
    <w:p w:rsidR="005A6EF5" w:rsidRPr="00BF4D07" w:rsidRDefault="005A6EF5" w:rsidP="005A6EF5">
      <w:pPr>
        <w:spacing w:line="240" w:lineRule="auto"/>
        <w:ind w:firstLine="708"/>
        <w:rPr>
          <w:sz w:val="28"/>
          <w:szCs w:val="28"/>
        </w:rPr>
      </w:pPr>
      <w:r>
        <w:rPr>
          <w:sz w:val="28"/>
          <w:szCs w:val="28"/>
        </w:rPr>
        <w:t>7. Subsectors of the Financial Corporations sector include:</w:t>
      </w:r>
    </w:p>
    <w:p w:rsidR="005A6EF5" w:rsidRPr="00BF4D07" w:rsidRDefault="005A6EF5" w:rsidP="005A6EF5">
      <w:pPr>
        <w:spacing w:line="240" w:lineRule="auto"/>
        <w:ind w:firstLine="708"/>
        <w:rPr>
          <w:sz w:val="28"/>
          <w:szCs w:val="28"/>
        </w:rPr>
      </w:pPr>
      <w:r w:rsidRPr="00BF4D07">
        <w:rPr>
          <w:sz w:val="28"/>
          <w:szCs w:val="28"/>
        </w:rPr>
        <w:t>1) the central bank;</w:t>
      </w:r>
    </w:p>
    <w:p w:rsidR="005A6EF5" w:rsidRPr="00BF4D07" w:rsidRDefault="005A6EF5" w:rsidP="005A6EF5">
      <w:pPr>
        <w:spacing w:line="240" w:lineRule="auto"/>
        <w:ind w:firstLine="708"/>
        <w:rPr>
          <w:sz w:val="28"/>
          <w:szCs w:val="28"/>
        </w:rPr>
      </w:pPr>
      <w:r w:rsidRPr="00BF4D07">
        <w:rPr>
          <w:sz w:val="28"/>
          <w:szCs w:val="28"/>
        </w:rPr>
        <w:t>2) corporations that accept deposits other than the central bank;</w:t>
      </w:r>
    </w:p>
    <w:p w:rsidR="005A6EF5" w:rsidRPr="00BF4D07" w:rsidRDefault="005A6EF5" w:rsidP="005A6EF5">
      <w:pPr>
        <w:spacing w:line="240" w:lineRule="auto"/>
        <w:ind w:firstLine="708"/>
        <w:rPr>
          <w:sz w:val="28"/>
          <w:szCs w:val="28"/>
        </w:rPr>
      </w:pPr>
      <w:r w:rsidRPr="00BF4D07">
        <w:rPr>
          <w:sz w:val="28"/>
          <w:szCs w:val="28"/>
        </w:rPr>
        <w:t>3) money market funds;</w:t>
      </w:r>
    </w:p>
    <w:p w:rsidR="005A6EF5" w:rsidRPr="00BF4D07" w:rsidRDefault="005A6EF5" w:rsidP="005A6EF5">
      <w:pPr>
        <w:spacing w:line="240" w:lineRule="auto"/>
        <w:ind w:firstLine="708"/>
        <w:rPr>
          <w:sz w:val="28"/>
          <w:szCs w:val="28"/>
        </w:rPr>
      </w:pPr>
      <w:r w:rsidRPr="00BF4D07">
        <w:rPr>
          <w:sz w:val="28"/>
          <w:szCs w:val="28"/>
        </w:rPr>
        <w:t>4) non-monetary market investment funds;</w:t>
      </w:r>
    </w:p>
    <w:p w:rsidR="005A6EF5" w:rsidRPr="00BF4D07" w:rsidRDefault="005A6EF5" w:rsidP="005A6EF5">
      <w:pPr>
        <w:spacing w:line="240" w:lineRule="auto"/>
        <w:ind w:firstLine="708"/>
        <w:rPr>
          <w:sz w:val="28"/>
          <w:szCs w:val="28"/>
        </w:rPr>
      </w:pPr>
      <w:r w:rsidRPr="00BF4D07">
        <w:rPr>
          <w:sz w:val="28"/>
          <w:szCs w:val="28"/>
        </w:rPr>
        <w:t>5) other financial intermediaries, except for insurance corporations and pension funds;</w:t>
      </w:r>
    </w:p>
    <w:p w:rsidR="005A6EF5" w:rsidRPr="00BF4D07" w:rsidRDefault="005A6EF5" w:rsidP="005A6EF5">
      <w:pPr>
        <w:spacing w:line="240" w:lineRule="auto"/>
        <w:ind w:firstLine="708"/>
        <w:rPr>
          <w:sz w:val="28"/>
          <w:szCs w:val="28"/>
        </w:rPr>
      </w:pPr>
      <w:r w:rsidRPr="00BF4D07">
        <w:rPr>
          <w:sz w:val="28"/>
          <w:szCs w:val="28"/>
        </w:rPr>
        <w:t>6) auxiliary financial corporations;</w:t>
      </w:r>
    </w:p>
    <w:p w:rsidR="005A6EF5" w:rsidRPr="00BF4D07" w:rsidRDefault="005A6EF5" w:rsidP="005A6EF5">
      <w:pPr>
        <w:spacing w:line="240" w:lineRule="auto"/>
        <w:ind w:firstLine="708"/>
        <w:rPr>
          <w:sz w:val="28"/>
          <w:szCs w:val="28"/>
        </w:rPr>
      </w:pPr>
      <w:r w:rsidRPr="00BF4D07">
        <w:rPr>
          <w:sz w:val="28"/>
          <w:szCs w:val="28"/>
        </w:rPr>
        <w:t>7) captive financial institutions and moneylenders;</w:t>
      </w:r>
    </w:p>
    <w:p w:rsidR="005A6EF5" w:rsidRPr="00BF4D07" w:rsidRDefault="005A6EF5" w:rsidP="005A6EF5">
      <w:pPr>
        <w:spacing w:line="240" w:lineRule="auto"/>
        <w:ind w:firstLine="708"/>
        <w:rPr>
          <w:sz w:val="28"/>
          <w:szCs w:val="28"/>
        </w:rPr>
      </w:pPr>
      <w:r w:rsidRPr="00BF4D07">
        <w:rPr>
          <w:sz w:val="28"/>
          <w:szCs w:val="28"/>
        </w:rPr>
        <w:t>8) insurance corporations;</w:t>
      </w:r>
    </w:p>
    <w:p w:rsidR="005A6EF5" w:rsidRPr="00BF4D07" w:rsidRDefault="005A6EF5" w:rsidP="005A6EF5">
      <w:pPr>
        <w:spacing w:line="240" w:lineRule="auto"/>
        <w:ind w:firstLine="708"/>
        <w:rPr>
          <w:sz w:val="28"/>
          <w:szCs w:val="28"/>
        </w:rPr>
      </w:pPr>
      <w:r w:rsidRPr="00BF4D07">
        <w:rPr>
          <w:sz w:val="28"/>
          <w:szCs w:val="28"/>
        </w:rPr>
        <w:t>9) pension funds.</w:t>
      </w:r>
    </w:p>
    <w:p w:rsidR="005A6EF5" w:rsidRDefault="005A6EF5" w:rsidP="005A6EF5">
      <w:pPr>
        <w:spacing w:line="240" w:lineRule="auto"/>
        <w:ind w:firstLine="708"/>
        <w:rPr>
          <w:sz w:val="28"/>
          <w:szCs w:val="28"/>
        </w:rPr>
      </w:pPr>
      <w:r>
        <w:rPr>
          <w:sz w:val="28"/>
          <w:szCs w:val="28"/>
          <w:lang w:val="kk-KZ"/>
        </w:rPr>
        <w:t>8</w:t>
      </w:r>
      <w:r w:rsidR="002D7B83">
        <w:rPr>
          <w:sz w:val="28"/>
          <w:szCs w:val="28"/>
          <w:lang w:val="kk-KZ"/>
        </w:rPr>
        <w:t>.</w:t>
      </w:r>
      <w:r w:rsidRPr="00BF4D07">
        <w:rPr>
          <w:sz w:val="28"/>
          <w:szCs w:val="28"/>
        </w:rPr>
        <w:t xml:space="preserve"> Second-tier banks according to the 2008 SNA belong to the subsector “corporations that take deposits other than the central bank” and are financial commercial institutions. The main functions of these corporations are the provision of financial intermediation and ancillary financial services.</w:t>
      </w:r>
    </w:p>
    <w:p w:rsidR="005A6EF5" w:rsidRPr="000C77FB" w:rsidRDefault="005A6EF5" w:rsidP="005A6EF5">
      <w:pPr>
        <w:spacing w:line="240" w:lineRule="auto"/>
        <w:ind w:firstLine="708"/>
        <w:rPr>
          <w:color w:val="FF0000"/>
          <w:sz w:val="28"/>
          <w:szCs w:val="28"/>
        </w:rPr>
      </w:pPr>
      <w:r>
        <w:rPr>
          <w:sz w:val="28"/>
          <w:szCs w:val="28"/>
          <w:lang w:val="kk-KZ"/>
        </w:rPr>
        <w:t>9</w:t>
      </w:r>
      <w:r w:rsidR="002D7B83">
        <w:rPr>
          <w:sz w:val="28"/>
          <w:szCs w:val="28"/>
          <w:lang w:val="kk-KZ"/>
        </w:rPr>
        <w:t>.</w:t>
      </w:r>
      <w:r w:rsidRPr="00BF4D07">
        <w:rPr>
          <w:sz w:val="28"/>
          <w:szCs w:val="28"/>
        </w:rPr>
        <w:t xml:space="preserve"> Financial institutions do not charge direct fees for financial intermediation services. Fees for these services are implicitly included either in </w:t>
      </w:r>
      <w:r w:rsidRPr="00A47B0F">
        <w:rPr>
          <w:sz w:val="28"/>
          <w:szCs w:val="28"/>
        </w:rPr>
        <w:t xml:space="preserve">the interest paid by the borrowers of funds, or they are charged implicitly to institutional units lending resources to financial institutions by applying lower interest rates to them. </w:t>
      </w:r>
      <w:r>
        <w:rPr>
          <w:sz w:val="28"/>
          <w:szCs w:val="28"/>
        </w:rPr>
        <w:t>In the SNA, the value of output of financial intermediation services is calculated by the indirect method (IFSIM).</w:t>
      </w:r>
    </w:p>
    <w:p w:rsidR="005A6EF5" w:rsidRPr="00BF4D07" w:rsidRDefault="005A6EF5" w:rsidP="005A6EF5">
      <w:pPr>
        <w:spacing w:line="240" w:lineRule="auto"/>
        <w:ind w:firstLine="708"/>
        <w:rPr>
          <w:sz w:val="28"/>
          <w:szCs w:val="28"/>
        </w:rPr>
      </w:pPr>
      <w:r>
        <w:rPr>
          <w:sz w:val="28"/>
          <w:szCs w:val="28"/>
        </w:rPr>
        <w:t xml:space="preserve">1 </w:t>
      </w:r>
      <w:r>
        <w:rPr>
          <w:sz w:val="28"/>
          <w:szCs w:val="28"/>
          <w:lang w:val="kk-KZ"/>
        </w:rPr>
        <w:t>0</w:t>
      </w:r>
      <w:r w:rsidR="002D7B83">
        <w:rPr>
          <w:sz w:val="28"/>
          <w:szCs w:val="28"/>
          <w:lang w:val="kk-KZ"/>
        </w:rPr>
        <w:t>.</w:t>
      </w:r>
      <w:r>
        <w:rPr>
          <w:sz w:val="28"/>
          <w:szCs w:val="28"/>
        </w:rPr>
        <w:t xml:space="preserve"> Ancillary financial services are charged directly in the form of commission payments. Their release is determined by the amount of this payment. Ancillary </w:t>
      </w:r>
      <w:r>
        <w:rPr>
          <w:sz w:val="28"/>
          <w:szCs w:val="28"/>
        </w:rPr>
        <w:lastRenderedPageBreak/>
        <w:t>activities are carried out within the organization, in order to create conditions for the normal implementation of its main or secondary activities.</w:t>
      </w:r>
    </w:p>
    <w:p w:rsidR="005A6EF5" w:rsidRPr="00BF4D07" w:rsidRDefault="005A6EF5" w:rsidP="005A6EF5">
      <w:pPr>
        <w:spacing w:line="240" w:lineRule="auto"/>
        <w:ind w:firstLine="708"/>
        <w:rPr>
          <w:sz w:val="28"/>
          <w:szCs w:val="28"/>
        </w:rPr>
      </w:pPr>
      <w:r>
        <w:rPr>
          <w:sz w:val="28"/>
          <w:szCs w:val="28"/>
        </w:rPr>
        <w:t>The output of second-tier banks is equal to the sum of the outputs of financial intermediation services and the output of ancillary services.</w:t>
      </w:r>
    </w:p>
    <w:p w:rsidR="005A6EF5" w:rsidRPr="00BF4D07" w:rsidRDefault="002D7B83" w:rsidP="005A6EF5">
      <w:pPr>
        <w:spacing w:line="240" w:lineRule="auto"/>
        <w:ind w:firstLine="708"/>
        <w:rPr>
          <w:sz w:val="28"/>
          <w:szCs w:val="28"/>
        </w:rPr>
      </w:pPr>
      <w:r>
        <w:rPr>
          <w:sz w:val="28"/>
          <w:szCs w:val="28"/>
        </w:rPr>
        <w:t>1</w:t>
      </w:r>
      <w:r w:rsidR="005A6EF5">
        <w:rPr>
          <w:sz w:val="28"/>
          <w:szCs w:val="28"/>
          <w:lang w:val="kk-KZ"/>
        </w:rPr>
        <w:t>1</w:t>
      </w:r>
      <w:r>
        <w:rPr>
          <w:sz w:val="28"/>
          <w:szCs w:val="28"/>
          <w:lang w:val="kk-KZ"/>
        </w:rPr>
        <w:t>.</w:t>
      </w:r>
      <w:r w:rsidR="005A6EF5" w:rsidRPr="00BF4D07">
        <w:rPr>
          <w:sz w:val="28"/>
          <w:szCs w:val="28"/>
        </w:rPr>
        <w:t xml:space="preserve"> Ancillary financial services are provided to clients by all financial institutions. For some, this is a primary activity, while for others it is a secondary activity in addition to providing financial intermediation services.</w:t>
      </w:r>
    </w:p>
    <w:p w:rsidR="005A6EF5" w:rsidRPr="00BF4D07" w:rsidRDefault="002D7B83" w:rsidP="005A6EF5">
      <w:pPr>
        <w:spacing w:line="240" w:lineRule="auto"/>
        <w:ind w:firstLine="708"/>
        <w:rPr>
          <w:sz w:val="28"/>
          <w:szCs w:val="28"/>
        </w:rPr>
      </w:pPr>
      <w:r>
        <w:rPr>
          <w:sz w:val="28"/>
          <w:szCs w:val="28"/>
        </w:rPr>
        <w:t>1</w:t>
      </w:r>
      <w:r w:rsidR="005A6EF5">
        <w:rPr>
          <w:sz w:val="28"/>
          <w:szCs w:val="28"/>
          <w:lang w:val="kk-KZ"/>
        </w:rPr>
        <w:t>2</w:t>
      </w:r>
      <w:r>
        <w:rPr>
          <w:sz w:val="28"/>
          <w:szCs w:val="28"/>
          <w:lang w:val="kk-KZ"/>
        </w:rPr>
        <w:t>.</w:t>
      </w:r>
      <w:r w:rsidR="005A6EF5" w:rsidRPr="00BF4D07">
        <w:rPr>
          <w:sz w:val="28"/>
          <w:szCs w:val="28"/>
        </w:rPr>
        <w:t xml:space="preserve"> Financial services are paid for explicitly and implicitly.</w:t>
      </w:r>
    </w:p>
    <w:p w:rsidR="005A6EF5" w:rsidRDefault="005A6EF5" w:rsidP="005A6EF5">
      <w:pPr>
        <w:spacing w:line="240" w:lineRule="auto"/>
        <w:ind w:firstLine="708"/>
        <w:rPr>
          <w:sz w:val="28"/>
          <w:szCs w:val="28"/>
        </w:rPr>
      </w:pPr>
      <w:r w:rsidRPr="00BF4D07">
        <w:rPr>
          <w:sz w:val="28"/>
          <w:szCs w:val="28"/>
        </w:rPr>
        <w:t>Fees for financial services explicitly include a margin on foreign exchange and securities transactions. The margin is calculated for the difference between the rates of the seller and the buyer. The margin is a source of income for the bank and covers the costs of the transaction and insures the currency risk.</w:t>
      </w:r>
    </w:p>
    <w:p w:rsidR="005A6EF5" w:rsidRPr="00BF4D07" w:rsidRDefault="005A6EF5" w:rsidP="005A6EF5">
      <w:pPr>
        <w:spacing w:line="240" w:lineRule="auto"/>
        <w:ind w:firstLine="708"/>
        <w:rPr>
          <w:sz w:val="28"/>
          <w:szCs w:val="28"/>
        </w:rPr>
      </w:pPr>
      <w:r w:rsidRPr="00BF4D07">
        <w:rPr>
          <w:sz w:val="28"/>
          <w:szCs w:val="28"/>
        </w:rPr>
        <w:t>There are two types of quotes: direct and indirect. Most countries use direct quotation. With direct quotation - the cost of a unit of foreign currency is expressed in national currency. With indirect quotation, the national currency is taken as a unit, the exchange rate is expressed in a certain amount of foreign currency.</w:t>
      </w:r>
    </w:p>
    <w:p w:rsidR="005A6EF5" w:rsidRDefault="002D7B83" w:rsidP="005A6EF5">
      <w:pPr>
        <w:spacing w:line="240" w:lineRule="auto"/>
        <w:ind w:firstLine="708"/>
        <w:rPr>
          <w:rStyle w:val="hps"/>
          <w:color w:val="00B0F0"/>
          <w:sz w:val="28"/>
          <w:szCs w:val="28"/>
        </w:rPr>
      </w:pPr>
      <w:r>
        <w:rPr>
          <w:rStyle w:val="hps"/>
          <w:sz w:val="28"/>
          <w:szCs w:val="28"/>
        </w:rPr>
        <w:t>1</w:t>
      </w:r>
      <w:r w:rsidR="005A6EF5">
        <w:rPr>
          <w:rStyle w:val="hps"/>
          <w:sz w:val="28"/>
          <w:szCs w:val="28"/>
          <w:lang w:val="kk-KZ"/>
        </w:rPr>
        <w:t>3</w:t>
      </w:r>
      <w:r>
        <w:rPr>
          <w:rStyle w:val="hps"/>
          <w:sz w:val="28"/>
          <w:szCs w:val="28"/>
          <w:lang w:val="kk-KZ"/>
        </w:rPr>
        <w:t>.</w:t>
      </w:r>
      <w:r w:rsidR="005A6EF5" w:rsidRPr="00BF4D07">
        <w:rPr>
          <w:rStyle w:val="hps"/>
          <w:sz w:val="28"/>
          <w:szCs w:val="28"/>
        </w:rPr>
        <w:t xml:space="preserve"> A large number of services are explicitly provided by various categories of financial institutions. Deposit-taking institutions, particularly banks, charge households for mortgages, investment portfolio management, tax advice, and property management</w:t>
      </w:r>
      <w:r>
        <w:rPr>
          <w:rStyle w:val="hps"/>
          <w:sz w:val="28"/>
          <w:szCs w:val="28"/>
        </w:rPr>
        <w:t>.</w:t>
      </w:r>
    </w:p>
    <w:p w:rsidR="005A6EF5" w:rsidRDefault="005A6EF5" w:rsidP="005A6EF5">
      <w:pPr>
        <w:spacing w:line="240" w:lineRule="auto"/>
        <w:ind w:firstLine="708"/>
        <w:rPr>
          <w:rStyle w:val="hps"/>
          <w:sz w:val="28"/>
          <w:szCs w:val="28"/>
        </w:rPr>
      </w:pPr>
      <w:r w:rsidRPr="00BF4D07">
        <w:rPr>
          <w:rStyle w:val="hps"/>
          <w:sz w:val="28"/>
          <w:szCs w:val="28"/>
        </w:rPr>
        <w:t>Specialized financial institutions charge non-financial corporations for arranging a share offering or for managing the restructuring of a group of corporations. The most common direct fee is the fee charged by credit card issuers to businesses that accept credit cards as payment for goods and services.</w:t>
      </w:r>
    </w:p>
    <w:p w:rsidR="005A6EF5" w:rsidRDefault="002D7B83" w:rsidP="005A6EF5">
      <w:pPr>
        <w:spacing w:line="240" w:lineRule="auto"/>
        <w:ind w:firstLine="708"/>
        <w:rPr>
          <w:rStyle w:val="hps"/>
          <w:sz w:val="28"/>
          <w:szCs w:val="28"/>
        </w:rPr>
      </w:pPr>
      <w:r>
        <w:rPr>
          <w:rStyle w:val="hps"/>
          <w:sz w:val="28"/>
          <w:szCs w:val="28"/>
        </w:rPr>
        <w:t>1</w:t>
      </w:r>
      <w:r w:rsidR="005A6EF5">
        <w:rPr>
          <w:rStyle w:val="hps"/>
          <w:sz w:val="28"/>
          <w:szCs w:val="28"/>
          <w:lang w:val="kk-KZ"/>
        </w:rPr>
        <w:t>4</w:t>
      </w:r>
      <w:r>
        <w:rPr>
          <w:rStyle w:val="hps"/>
          <w:sz w:val="28"/>
          <w:szCs w:val="28"/>
          <w:lang w:val="kk-KZ"/>
        </w:rPr>
        <w:t>.</w:t>
      </w:r>
      <w:r w:rsidR="005A6EF5" w:rsidRPr="00BF4D07">
        <w:rPr>
          <w:rStyle w:val="hps"/>
          <w:sz w:val="28"/>
          <w:szCs w:val="28"/>
        </w:rPr>
        <w:t xml:space="preserve"> Payment is calculated as a percentage of the sale, in retail sales volume corresponds to turnover, not output. The percentage is small in absolute value (one or two percent) and applying it to large amounts means that the total amount of the payment will be large. This payment represents the output of credit card companies and the intermediate consumption of credit card companies as a means of payment.</w:t>
      </w:r>
    </w:p>
    <w:p w:rsidR="005A6EF5" w:rsidRPr="00BF4D07" w:rsidRDefault="005A6EF5" w:rsidP="005A6EF5">
      <w:pPr>
        <w:pStyle w:val="Default"/>
        <w:ind w:firstLine="708"/>
        <w:jc w:val="both"/>
        <w:rPr>
          <w:rStyle w:val="hps"/>
          <w:color w:val="auto"/>
          <w:sz w:val="28"/>
          <w:szCs w:val="28"/>
        </w:rPr>
      </w:pPr>
      <w:r w:rsidRPr="00BF4D07">
        <w:rPr>
          <w:rStyle w:val="hps"/>
          <w:color w:val="auto"/>
          <w:sz w:val="28"/>
          <w:szCs w:val="28"/>
        </w:rPr>
        <w:t>Ignoring the role of credit card companies does not affect the measurement of spending on goods and services (final consumption or exports), but reduces the costs of the supplier of goods and services and the output of credit card companies. This results in a redistribution of value added from credit card companies to credit card providers of goods and services (2008 SNA, 6.161).</w:t>
      </w:r>
    </w:p>
    <w:p w:rsidR="005A6EF5" w:rsidRPr="00BF4D07" w:rsidRDefault="002D7B83" w:rsidP="005A6EF5">
      <w:pPr>
        <w:pStyle w:val="Default"/>
        <w:ind w:firstLine="708"/>
        <w:jc w:val="both"/>
        <w:rPr>
          <w:color w:val="auto"/>
          <w:sz w:val="28"/>
          <w:szCs w:val="28"/>
        </w:rPr>
      </w:pPr>
      <w:r>
        <w:rPr>
          <w:rStyle w:val="hps"/>
          <w:color w:val="auto"/>
          <w:sz w:val="28"/>
          <w:szCs w:val="28"/>
        </w:rPr>
        <w:t>1</w:t>
      </w:r>
      <w:r w:rsidR="005A6EF5">
        <w:rPr>
          <w:rStyle w:val="hps"/>
          <w:color w:val="auto"/>
          <w:sz w:val="28"/>
          <w:szCs w:val="28"/>
          <w:lang w:val="kk-KZ"/>
        </w:rPr>
        <w:t>5</w:t>
      </w:r>
      <w:r>
        <w:rPr>
          <w:rStyle w:val="hps"/>
          <w:color w:val="auto"/>
          <w:sz w:val="28"/>
          <w:szCs w:val="28"/>
          <w:lang w:val="kk-KZ"/>
        </w:rPr>
        <w:t>.</w:t>
      </w:r>
      <w:r w:rsidR="005A6EF5" w:rsidRPr="00BF4D07">
        <w:rPr>
          <w:rStyle w:val="hps"/>
          <w:color w:val="auto"/>
          <w:sz w:val="28"/>
          <w:szCs w:val="28"/>
        </w:rPr>
        <w:t xml:space="preserve"> The credit card example illustrates that a financial corporation provides services that are paid for by different funds from different customers or under different circumstances. The cardholder is charged an explicit fee for using the card. When using credits, the cardholder makes an implicit payment related to the payment of interest on outstanding credits (treated as a loan in the SNA) (2008 SNA, 6.162).</w:t>
      </w:r>
    </w:p>
    <w:p w:rsidR="005A6EF5" w:rsidRDefault="002D7B83" w:rsidP="005A6EF5">
      <w:pPr>
        <w:spacing w:line="240" w:lineRule="auto"/>
        <w:ind w:firstLine="708"/>
        <w:rPr>
          <w:sz w:val="28"/>
          <w:szCs w:val="28"/>
        </w:rPr>
      </w:pPr>
      <w:r>
        <w:rPr>
          <w:sz w:val="28"/>
          <w:szCs w:val="28"/>
        </w:rPr>
        <w:t>1</w:t>
      </w:r>
      <w:r w:rsidR="005A6EF5">
        <w:rPr>
          <w:sz w:val="28"/>
          <w:szCs w:val="28"/>
          <w:lang w:val="kk-KZ"/>
        </w:rPr>
        <w:t>6</w:t>
      </w:r>
      <w:r>
        <w:rPr>
          <w:sz w:val="28"/>
          <w:szCs w:val="28"/>
          <w:lang w:val="kk-KZ"/>
        </w:rPr>
        <w:t>.</w:t>
      </w:r>
      <w:r w:rsidR="005A6EF5" w:rsidRPr="00BF4D07">
        <w:rPr>
          <w:sz w:val="28"/>
          <w:szCs w:val="28"/>
        </w:rPr>
        <w:t xml:space="preserve"> Second-tier banks, along with their main activity (intermediary activity), carry out various auxiliary operations, including many services closely related to financial intermediation.</w:t>
      </w:r>
    </w:p>
    <w:p w:rsidR="005A6EF5" w:rsidRPr="002B7BBB" w:rsidRDefault="005A6EF5" w:rsidP="005A6EF5">
      <w:pPr>
        <w:pStyle w:val="1"/>
        <w:spacing w:before="0" w:beforeAutospacing="0" w:after="0" w:afterAutospacing="0"/>
        <w:ind w:firstLine="708"/>
        <w:jc w:val="both"/>
        <w:rPr>
          <w:b w:val="0"/>
        </w:rPr>
      </w:pPr>
      <w:r w:rsidRPr="005E6533">
        <w:rPr>
          <w:b w:val="0"/>
          <w:sz w:val="28"/>
          <w:szCs w:val="28"/>
        </w:rPr>
        <w:lastRenderedPageBreak/>
        <w:t xml:space="preserve">17. Second-tier banks carry out banking and other operations </w:t>
      </w:r>
      <w:r w:rsidRPr="005E6533">
        <w:rPr>
          <w:b w:val="0"/>
          <w:bCs w:val="0"/>
          <w:kern w:val="0"/>
          <w:sz w:val="28"/>
          <w:szCs w:val="28"/>
        </w:rPr>
        <w:t xml:space="preserve">established by the Law of the Republic of Kazakhstan </w:t>
      </w:r>
      <w:r w:rsidRPr="005E6533">
        <w:rPr>
          <w:b w:val="0"/>
          <w:sz w:val="28"/>
          <w:szCs w:val="28"/>
        </w:rPr>
        <w:t xml:space="preserve">dated August 31, 1995 </w:t>
      </w:r>
      <w:r w:rsidRPr="005E6533">
        <w:rPr>
          <w:b w:val="0"/>
          <w:bCs w:val="0"/>
          <w:kern w:val="0"/>
          <w:sz w:val="28"/>
          <w:szCs w:val="28"/>
        </w:rPr>
        <w:t>"On banks and banking activities in the Republic of Kazakhstan"</w:t>
      </w:r>
      <w:r w:rsidR="002D7B83">
        <w:rPr>
          <w:b w:val="0"/>
          <w:bCs w:val="0"/>
          <w:kern w:val="0"/>
          <w:sz w:val="28"/>
          <w:szCs w:val="28"/>
        </w:rPr>
        <w:t>.</w:t>
      </w:r>
    </w:p>
    <w:p w:rsidR="005A6EF5" w:rsidRPr="00BF4D07" w:rsidRDefault="005A6EF5" w:rsidP="005A6EF5">
      <w:pPr>
        <w:spacing w:line="240" w:lineRule="auto"/>
        <w:ind w:firstLine="708"/>
        <w:rPr>
          <w:color w:val="00B0F0"/>
          <w:sz w:val="28"/>
          <w:szCs w:val="28"/>
        </w:rPr>
      </w:pPr>
      <w:r w:rsidRPr="00BF4D07">
        <w:rPr>
          <w:sz w:val="28"/>
          <w:szCs w:val="28"/>
        </w:rPr>
        <w:t>For the provision of such services to customers, financial institutions receive payment in the form of commissions or other payments related to banking activities.</w:t>
      </w:r>
    </w:p>
    <w:p w:rsidR="005A6EF5" w:rsidRDefault="005A6EF5" w:rsidP="005A6EF5">
      <w:pPr>
        <w:spacing w:line="240" w:lineRule="auto"/>
        <w:ind w:firstLine="0"/>
        <w:textAlignment w:val="top"/>
        <w:rPr>
          <w:b/>
          <w:sz w:val="28"/>
          <w:szCs w:val="28"/>
        </w:rPr>
      </w:pPr>
    </w:p>
    <w:p w:rsidR="005A6EF5" w:rsidRPr="00BF4D07" w:rsidRDefault="005A6EF5" w:rsidP="005A6EF5">
      <w:pPr>
        <w:spacing w:line="240" w:lineRule="auto"/>
        <w:ind w:firstLine="0"/>
        <w:textAlignment w:val="top"/>
        <w:rPr>
          <w:b/>
          <w:sz w:val="28"/>
          <w:szCs w:val="28"/>
        </w:rPr>
      </w:pPr>
    </w:p>
    <w:p w:rsidR="005A6EF5" w:rsidRPr="00BF4D07" w:rsidRDefault="005A6EF5" w:rsidP="005A6EF5">
      <w:pPr>
        <w:spacing w:line="240" w:lineRule="auto"/>
        <w:ind w:firstLine="0"/>
        <w:jc w:val="center"/>
        <w:textAlignment w:val="top"/>
        <w:rPr>
          <w:b/>
          <w:sz w:val="28"/>
          <w:szCs w:val="28"/>
        </w:rPr>
      </w:pPr>
      <w:r>
        <w:rPr>
          <w:b/>
          <w:sz w:val="28"/>
          <w:szCs w:val="28"/>
        </w:rPr>
        <w:t>Chapter 3. Calculation of gross output and intermediate consumption of financial services of second-tier banks</w:t>
      </w:r>
    </w:p>
    <w:p w:rsidR="005A6EF5" w:rsidRDefault="005A6EF5" w:rsidP="005A6EF5">
      <w:pPr>
        <w:spacing w:line="240" w:lineRule="auto"/>
        <w:ind w:firstLine="0"/>
        <w:jc w:val="center"/>
        <w:textAlignment w:val="top"/>
        <w:rPr>
          <w:b/>
          <w:sz w:val="28"/>
          <w:szCs w:val="28"/>
        </w:rPr>
      </w:pPr>
    </w:p>
    <w:p w:rsidR="005A6EF5" w:rsidRPr="00BF4D07" w:rsidRDefault="005A6EF5" w:rsidP="005A6EF5">
      <w:pPr>
        <w:spacing w:line="240" w:lineRule="auto"/>
        <w:ind w:firstLine="0"/>
        <w:jc w:val="center"/>
        <w:textAlignment w:val="top"/>
        <w:rPr>
          <w:b/>
          <w:sz w:val="28"/>
          <w:szCs w:val="28"/>
        </w:rPr>
      </w:pPr>
    </w:p>
    <w:p w:rsidR="005A6EF5" w:rsidRPr="00BF4D07" w:rsidRDefault="005A6EF5" w:rsidP="005A6EF5">
      <w:pPr>
        <w:spacing w:line="240" w:lineRule="auto"/>
        <w:ind w:firstLine="0"/>
        <w:jc w:val="center"/>
        <w:textAlignment w:val="top"/>
        <w:rPr>
          <w:b/>
          <w:sz w:val="28"/>
          <w:szCs w:val="28"/>
        </w:rPr>
      </w:pPr>
      <w:r w:rsidRPr="00BF4D07">
        <w:rPr>
          <w:b/>
          <w:sz w:val="28"/>
          <w:szCs w:val="28"/>
        </w:rPr>
        <w:t>Paragraph 1. Calculation of the gross output of financial services of second-tier banks</w:t>
      </w:r>
    </w:p>
    <w:p w:rsidR="005A6EF5" w:rsidRPr="00BF4D07" w:rsidRDefault="005A6EF5" w:rsidP="005A6EF5">
      <w:pPr>
        <w:spacing w:line="240" w:lineRule="auto"/>
        <w:ind w:firstLine="0"/>
        <w:jc w:val="center"/>
        <w:textAlignment w:val="top"/>
        <w:rPr>
          <w:b/>
          <w:color w:val="00B0F0"/>
          <w:sz w:val="28"/>
          <w:szCs w:val="28"/>
        </w:rPr>
      </w:pPr>
    </w:p>
    <w:p w:rsidR="005A6EF5" w:rsidRPr="00B30EF3" w:rsidRDefault="002D7B83" w:rsidP="005A6EF5">
      <w:pPr>
        <w:spacing w:line="240" w:lineRule="auto"/>
        <w:ind w:firstLine="708"/>
        <w:rPr>
          <w:color w:val="00B0F0"/>
          <w:sz w:val="28"/>
          <w:szCs w:val="28"/>
        </w:rPr>
      </w:pPr>
      <w:r>
        <w:rPr>
          <w:sz w:val="28"/>
          <w:szCs w:val="28"/>
        </w:rPr>
        <w:t>1</w:t>
      </w:r>
      <w:r w:rsidR="005A6EF5">
        <w:rPr>
          <w:sz w:val="28"/>
          <w:szCs w:val="28"/>
          <w:lang w:val="kk-KZ"/>
        </w:rPr>
        <w:t>8</w:t>
      </w:r>
      <w:r>
        <w:rPr>
          <w:sz w:val="28"/>
          <w:szCs w:val="28"/>
          <w:lang w:val="kk-KZ"/>
        </w:rPr>
        <w:t>.</w:t>
      </w:r>
      <w:r w:rsidR="005A6EF5" w:rsidRPr="00BF4D07">
        <w:rPr>
          <w:color w:val="00B0F0"/>
          <w:sz w:val="28"/>
          <w:szCs w:val="28"/>
        </w:rPr>
        <w:t xml:space="preserve"> </w:t>
      </w:r>
      <w:r w:rsidR="005A6EF5" w:rsidRPr="00BF4D07">
        <w:rPr>
          <w:sz w:val="28"/>
          <w:szCs w:val="28"/>
        </w:rPr>
        <w:t>GDP is calculated using three methods: the production method, the income method, and the final use method.</w:t>
      </w:r>
      <w:r w:rsidR="005A6EF5">
        <w:rPr>
          <w:color w:val="00B0F0"/>
          <w:sz w:val="28"/>
          <w:szCs w:val="28"/>
        </w:rPr>
        <w:t xml:space="preserve"> </w:t>
      </w:r>
      <w:r w:rsidR="005A6EF5" w:rsidRPr="00BF4D07">
        <w:rPr>
          <w:sz w:val="28"/>
          <w:szCs w:val="28"/>
        </w:rPr>
        <w:t>The main components of GDP by the production method are - gross output, intermediate consumption, gross value added.</w:t>
      </w:r>
    </w:p>
    <w:p w:rsidR="005A6EF5" w:rsidRPr="00BF4D07" w:rsidRDefault="005A6EF5" w:rsidP="005A6EF5">
      <w:pPr>
        <w:spacing w:line="240" w:lineRule="auto"/>
        <w:rPr>
          <w:rStyle w:val="longtext"/>
          <w:color w:val="00B0F0"/>
          <w:sz w:val="28"/>
          <w:szCs w:val="28"/>
          <w:shd w:val="clear" w:color="auto" w:fill="FFFFFF"/>
        </w:rPr>
      </w:pPr>
      <w:r>
        <w:rPr>
          <w:rStyle w:val="longtext"/>
          <w:sz w:val="28"/>
          <w:szCs w:val="28"/>
          <w:shd w:val="clear" w:color="auto" w:fill="FFFFFF"/>
          <w:lang w:val="kk-KZ"/>
        </w:rPr>
        <w:t>19</w:t>
      </w:r>
      <w:r w:rsidR="002D7B83">
        <w:rPr>
          <w:rStyle w:val="longtext"/>
          <w:sz w:val="28"/>
          <w:szCs w:val="28"/>
          <w:shd w:val="clear" w:color="auto" w:fill="FFFFFF"/>
          <w:lang w:val="kk-KZ"/>
        </w:rPr>
        <w:t>.</w:t>
      </w:r>
      <w:r w:rsidRPr="00BF4D07">
        <w:rPr>
          <w:rStyle w:val="longtext"/>
          <w:color w:val="00B0F0"/>
          <w:sz w:val="28"/>
          <w:szCs w:val="28"/>
          <w:shd w:val="clear" w:color="auto" w:fill="FFFFFF"/>
        </w:rPr>
        <w:t xml:space="preserve"> </w:t>
      </w:r>
      <w:r w:rsidRPr="00BF4D07">
        <w:rPr>
          <w:rStyle w:val="longtext"/>
          <w:sz w:val="28"/>
          <w:szCs w:val="28"/>
          <w:shd w:val="clear" w:color="auto" w:fill="FFFFFF"/>
        </w:rPr>
        <w:t>The output of financial institutions (banks) consists of the output of FISIM and the output of ancillary financial services.</w:t>
      </w:r>
    </w:p>
    <w:p w:rsidR="005A6EF5" w:rsidRDefault="005A6EF5" w:rsidP="005A6EF5">
      <w:pPr>
        <w:spacing w:line="240" w:lineRule="auto"/>
        <w:rPr>
          <w:rStyle w:val="longtext"/>
          <w:sz w:val="28"/>
          <w:szCs w:val="28"/>
          <w:highlight w:val="yellow"/>
          <w:shd w:val="clear" w:color="auto" w:fill="FFFFFF"/>
        </w:rPr>
      </w:pPr>
      <w:r>
        <w:rPr>
          <w:rStyle w:val="longtext"/>
          <w:sz w:val="28"/>
          <w:szCs w:val="28"/>
          <w:shd w:val="clear" w:color="auto" w:fill="FFFFFF"/>
        </w:rPr>
        <w:t xml:space="preserve">The source of data </w:t>
      </w:r>
      <w:r w:rsidRPr="00AC021B">
        <w:rPr>
          <w:rStyle w:val="longtext"/>
          <w:sz w:val="28"/>
          <w:szCs w:val="28"/>
          <w:shd w:val="clear" w:color="auto" w:fill="FFFFFF"/>
        </w:rPr>
        <w:t>for calculating the output of ancillary financial services of second-tier banks is publicly available information posted on the website of the central bank.</w:t>
      </w:r>
    </w:p>
    <w:p w:rsidR="005A6EF5" w:rsidRPr="00BF4D07" w:rsidRDefault="005A6EF5" w:rsidP="005A6EF5">
      <w:pPr>
        <w:spacing w:line="240" w:lineRule="auto"/>
        <w:rPr>
          <w:rStyle w:val="longtext"/>
          <w:sz w:val="28"/>
          <w:szCs w:val="28"/>
          <w:shd w:val="clear" w:color="auto" w:fill="FFFFFF"/>
        </w:rPr>
      </w:pPr>
      <w:r>
        <w:rPr>
          <w:rStyle w:val="longtext"/>
          <w:sz w:val="28"/>
          <w:szCs w:val="28"/>
          <w:shd w:val="clear" w:color="auto" w:fill="FFFFFF"/>
        </w:rPr>
        <w:t>20</w:t>
      </w:r>
      <w:r w:rsidR="002D7B83">
        <w:rPr>
          <w:rStyle w:val="longtext"/>
          <w:sz w:val="28"/>
          <w:szCs w:val="28"/>
          <w:shd w:val="clear" w:color="auto" w:fill="FFFFFF"/>
        </w:rPr>
        <w:t>.</w:t>
      </w:r>
      <w:r w:rsidRPr="00BF4D07">
        <w:rPr>
          <w:rStyle w:val="longtext"/>
          <w:sz w:val="28"/>
          <w:szCs w:val="28"/>
          <w:shd w:val="clear" w:color="auto" w:fill="FFFFFF"/>
        </w:rPr>
        <w:t xml:space="preserve"> The income statement of banks reflects income from the following ancillary financial services:</w:t>
      </w:r>
    </w:p>
    <w:p w:rsidR="005A6EF5" w:rsidRPr="00BF4D07" w:rsidRDefault="005A6EF5" w:rsidP="005A6EF5">
      <w:pPr>
        <w:spacing w:line="240" w:lineRule="auto"/>
        <w:rPr>
          <w:rStyle w:val="longtext"/>
          <w:sz w:val="28"/>
          <w:szCs w:val="28"/>
          <w:shd w:val="clear" w:color="auto" w:fill="FFFFFF"/>
        </w:rPr>
      </w:pPr>
      <w:r w:rsidRPr="00BF4D07">
        <w:rPr>
          <w:rStyle w:val="longtext"/>
          <w:sz w:val="28"/>
          <w:szCs w:val="28"/>
          <w:shd w:val="clear" w:color="auto" w:fill="FFFFFF"/>
        </w:rPr>
        <w:t>1) commission income on loans;</w:t>
      </w:r>
    </w:p>
    <w:p w:rsidR="005A6EF5" w:rsidRPr="00BF4D07" w:rsidRDefault="005A6EF5" w:rsidP="005A6EF5">
      <w:pPr>
        <w:spacing w:line="240" w:lineRule="auto"/>
        <w:ind w:firstLine="708"/>
        <w:rPr>
          <w:rStyle w:val="longtext"/>
          <w:sz w:val="28"/>
          <w:szCs w:val="28"/>
          <w:shd w:val="clear" w:color="auto" w:fill="FFFFFF"/>
        </w:rPr>
      </w:pPr>
      <w:r w:rsidRPr="00BF4D07">
        <w:rPr>
          <w:rStyle w:val="longtext"/>
          <w:sz w:val="28"/>
          <w:szCs w:val="28"/>
          <w:shd w:val="clear" w:color="auto" w:fill="FFFFFF"/>
        </w:rPr>
        <w:t>2) income from the amortization of discounts, premiums and interest on loans and other debt instruments;</w:t>
      </w:r>
    </w:p>
    <w:p w:rsidR="005A6EF5" w:rsidRPr="00BF4D07" w:rsidRDefault="005A6EF5" w:rsidP="005A6EF5">
      <w:pPr>
        <w:spacing w:line="240" w:lineRule="auto"/>
        <w:ind w:firstLine="708"/>
        <w:rPr>
          <w:rStyle w:val="longtext"/>
          <w:sz w:val="28"/>
          <w:szCs w:val="28"/>
          <w:shd w:val="clear" w:color="auto" w:fill="FFFFFF"/>
        </w:rPr>
      </w:pPr>
      <w:r w:rsidRPr="00BF4D07">
        <w:rPr>
          <w:rStyle w:val="longtext"/>
          <w:sz w:val="28"/>
          <w:szCs w:val="28"/>
          <w:shd w:val="clear" w:color="auto" w:fill="FFFFFF"/>
        </w:rPr>
        <w:t>3) income associated with the receipt of interest on other securities;</w:t>
      </w:r>
    </w:p>
    <w:p w:rsidR="005A6EF5" w:rsidRPr="00BF4D07" w:rsidRDefault="005A6EF5" w:rsidP="005A6EF5">
      <w:pPr>
        <w:spacing w:line="240" w:lineRule="auto"/>
        <w:ind w:left="360" w:firstLine="348"/>
        <w:rPr>
          <w:rStyle w:val="longtext"/>
          <w:sz w:val="28"/>
          <w:szCs w:val="28"/>
          <w:shd w:val="clear" w:color="auto" w:fill="FFFFFF"/>
        </w:rPr>
      </w:pPr>
      <w:r w:rsidRPr="00BF4D07">
        <w:rPr>
          <w:rStyle w:val="longtext"/>
          <w:sz w:val="28"/>
          <w:szCs w:val="28"/>
          <w:shd w:val="clear" w:color="auto" w:fill="FFFFFF"/>
        </w:rPr>
        <w:t>4) commission income;</w:t>
      </w:r>
    </w:p>
    <w:p w:rsidR="005A6EF5" w:rsidRPr="00BF4D07" w:rsidRDefault="005A6EF5" w:rsidP="005A6EF5">
      <w:pPr>
        <w:spacing w:line="240" w:lineRule="auto"/>
        <w:ind w:left="360" w:firstLine="348"/>
        <w:rPr>
          <w:rStyle w:val="longtext"/>
          <w:sz w:val="28"/>
          <w:szCs w:val="28"/>
          <w:shd w:val="clear" w:color="auto" w:fill="FFFFFF"/>
        </w:rPr>
      </w:pPr>
      <w:r>
        <w:rPr>
          <w:rStyle w:val="longtext"/>
          <w:sz w:val="28"/>
          <w:szCs w:val="28"/>
          <w:shd w:val="clear" w:color="auto" w:fill="FFFFFF"/>
          <w:lang w:val="kk-KZ"/>
        </w:rPr>
        <w:t xml:space="preserve">5 </w:t>
      </w:r>
      <w:r w:rsidRPr="00BF4D07">
        <w:rPr>
          <w:rStyle w:val="longtext"/>
          <w:sz w:val="28"/>
          <w:szCs w:val="28"/>
          <w:shd w:val="clear" w:color="auto" w:fill="FFFFFF"/>
        </w:rPr>
        <w:t>) other income from banking activities;</w:t>
      </w:r>
    </w:p>
    <w:p w:rsidR="005A6EF5" w:rsidRPr="00BF4D07" w:rsidRDefault="005A6EF5" w:rsidP="005A6EF5">
      <w:pPr>
        <w:spacing w:line="240" w:lineRule="auto"/>
        <w:ind w:firstLine="708"/>
        <w:rPr>
          <w:rStyle w:val="longtext"/>
          <w:sz w:val="28"/>
          <w:szCs w:val="28"/>
          <w:highlight w:val="yellow"/>
          <w:shd w:val="clear" w:color="auto" w:fill="FFFFFF"/>
        </w:rPr>
      </w:pPr>
      <w:r>
        <w:rPr>
          <w:rStyle w:val="longtext"/>
          <w:sz w:val="28"/>
          <w:szCs w:val="28"/>
          <w:shd w:val="clear" w:color="auto" w:fill="FFFFFF"/>
          <w:lang w:val="kk-KZ"/>
        </w:rPr>
        <w:t xml:space="preserve">6 </w:t>
      </w:r>
      <w:r w:rsidRPr="00BF4D07">
        <w:rPr>
          <w:rStyle w:val="longtext"/>
          <w:sz w:val="28"/>
          <w:szCs w:val="28"/>
          <w:shd w:val="clear" w:color="auto" w:fill="FFFFFF"/>
        </w:rPr>
        <w:t>) income from the sale and purchase of securities, foreign currency, precious metals.</w:t>
      </w:r>
    </w:p>
    <w:p w:rsidR="005A6EF5" w:rsidRPr="00BF4D07" w:rsidRDefault="005A6EF5" w:rsidP="005A6EF5">
      <w:pPr>
        <w:spacing w:line="240" w:lineRule="auto"/>
        <w:rPr>
          <w:sz w:val="28"/>
          <w:szCs w:val="28"/>
        </w:rPr>
      </w:pPr>
      <w:r w:rsidRPr="00BF4D07">
        <w:rPr>
          <w:sz w:val="28"/>
          <w:szCs w:val="28"/>
        </w:rPr>
        <w:t>The output associated with activities relating to the sale and purchase of securities and all types of transactions related to foreign exchange (including futures and options) is valued at the amount for the difference between the purchase and sale price.</w:t>
      </w:r>
    </w:p>
    <w:p w:rsidR="005A6EF5" w:rsidRDefault="005A6EF5" w:rsidP="005A6EF5">
      <w:pPr>
        <w:spacing w:line="240" w:lineRule="auto"/>
        <w:rPr>
          <w:sz w:val="28"/>
          <w:szCs w:val="28"/>
        </w:rPr>
      </w:pPr>
      <w:r w:rsidRPr="00BF4D07">
        <w:rPr>
          <w:sz w:val="28"/>
          <w:szCs w:val="28"/>
        </w:rPr>
        <w:t>Ancillary financial services that are paid directly in the form of fees are treated as an output of the SNA. Items included in the output of financial services of second-tier banks are given in Appendix 1 to this Methodology.</w:t>
      </w:r>
    </w:p>
    <w:p w:rsidR="005A6EF5" w:rsidRDefault="005A6EF5" w:rsidP="005A6EF5">
      <w:pPr>
        <w:spacing w:line="240" w:lineRule="auto"/>
        <w:rPr>
          <w:sz w:val="28"/>
          <w:szCs w:val="28"/>
        </w:rPr>
      </w:pPr>
    </w:p>
    <w:p w:rsidR="005A6EF5" w:rsidRDefault="005A6EF5" w:rsidP="005A6EF5">
      <w:pPr>
        <w:spacing w:line="240" w:lineRule="auto"/>
        <w:rPr>
          <w:sz w:val="28"/>
          <w:szCs w:val="28"/>
        </w:rPr>
      </w:pPr>
    </w:p>
    <w:p w:rsidR="005A6EF5" w:rsidRPr="00BF4D07" w:rsidRDefault="005A6EF5" w:rsidP="005A6EF5">
      <w:pPr>
        <w:spacing w:line="240" w:lineRule="auto"/>
        <w:ind w:firstLine="0"/>
        <w:jc w:val="center"/>
        <w:textAlignment w:val="top"/>
        <w:rPr>
          <w:b/>
          <w:sz w:val="28"/>
          <w:szCs w:val="28"/>
        </w:rPr>
      </w:pPr>
      <w:r w:rsidRPr="00BF4D07">
        <w:rPr>
          <w:b/>
          <w:sz w:val="28"/>
          <w:szCs w:val="28"/>
        </w:rPr>
        <w:t>Paragraph 2. Calculation of intermediate consumption of financial services of second-tier banks</w:t>
      </w:r>
    </w:p>
    <w:p w:rsidR="005A6EF5" w:rsidRPr="00BF4D07" w:rsidRDefault="005A6EF5" w:rsidP="005A6EF5">
      <w:pPr>
        <w:spacing w:line="240" w:lineRule="auto"/>
        <w:rPr>
          <w:rStyle w:val="longtext"/>
          <w:color w:val="FF0000"/>
          <w:sz w:val="28"/>
          <w:szCs w:val="28"/>
          <w:highlight w:val="yellow"/>
          <w:shd w:val="clear" w:color="auto" w:fill="FFFFFF"/>
        </w:rPr>
      </w:pPr>
    </w:p>
    <w:p w:rsidR="005A6EF5" w:rsidRPr="00BF4D07" w:rsidRDefault="002D7B83" w:rsidP="005A6EF5">
      <w:pPr>
        <w:pStyle w:val="a8"/>
        <w:spacing w:before="0" w:beforeAutospacing="0" w:after="0" w:afterAutospacing="0"/>
        <w:ind w:firstLine="708"/>
        <w:jc w:val="both"/>
        <w:rPr>
          <w:rStyle w:val="longtext"/>
          <w:rFonts w:ascii="Times New Roman" w:hAnsi="Times New Roman"/>
          <w:sz w:val="28"/>
          <w:szCs w:val="28"/>
          <w:shd w:val="clear" w:color="auto" w:fill="FFFFFF"/>
        </w:rPr>
      </w:pPr>
      <w:r>
        <w:rPr>
          <w:rStyle w:val="longtext"/>
          <w:rFonts w:ascii="Times New Roman" w:hAnsi="Times New Roman"/>
          <w:sz w:val="28"/>
          <w:szCs w:val="28"/>
          <w:shd w:val="clear" w:color="auto" w:fill="FFFFFF"/>
        </w:rPr>
        <w:t>2</w:t>
      </w:r>
      <w:r w:rsidR="005A6EF5">
        <w:rPr>
          <w:rStyle w:val="longtext"/>
          <w:rFonts w:ascii="Times New Roman" w:hAnsi="Times New Roman"/>
          <w:sz w:val="28"/>
          <w:szCs w:val="28"/>
          <w:shd w:val="clear" w:color="auto" w:fill="FFFFFF"/>
          <w:lang w:val="kk-KZ"/>
        </w:rPr>
        <w:t>1</w:t>
      </w:r>
      <w:r>
        <w:rPr>
          <w:rStyle w:val="longtext"/>
          <w:rFonts w:ascii="Times New Roman" w:hAnsi="Times New Roman"/>
          <w:sz w:val="28"/>
          <w:szCs w:val="28"/>
          <w:shd w:val="clear" w:color="auto" w:fill="FFFFFF"/>
          <w:lang w:val="kk-KZ"/>
        </w:rPr>
        <w:t>.</w:t>
      </w:r>
      <w:r w:rsidR="005A6EF5" w:rsidRPr="006367A6">
        <w:rPr>
          <w:rStyle w:val="longtext"/>
          <w:rFonts w:ascii="Times New Roman" w:hAnsi="Times New Roman"/>
          <w:sz w:val="28"/>
          <w:szCs w:val="28"/>
          <w:shd w:val="clear" w:color="auto" w:fill="FFFFFF"/>
        </w:rPr>
        <w:t xml:space="preserve"> As a source of data for calculating the intermediate consumption of financial services of second-tier banks, publicly available information posted on the official website of the central bank is used.</w:t>
      </w:r>
    </w:p>
    <w:p w:rsidR="005A6EF5" w:rsidRPr="00BF4D07" w:rsidRDefault="002D7B83" w:rsidP="005A6EF5">
      <w:pPr>
        <w:pStyle w:val="a8"/>
        <w:spacing w:before="0" w:beforeAutospacing="0" w:after="0" w:afterAutospacing="0"/>
        <w:ind w:firstLine="708"/>
        <w:jc w:val="both"/>
        <w:rPr>
          <w:rStyle w:val="longtext"/>
          <w:rFonts w:ascii="Times New Roman" w:hAnsi="Times New Roman"/>
          <w:sz w:val="28"/>
          <w:szCs w:val="28"/>
          <w:highlight w:val="yellow"/>
          <w:shd w:val="clear" w:color="auto" w:fill="FFFFFF"/>
        </w:rPr>
      </w:pPr>
      <w:r>
        <w:rPr>
          <w:rStyle w:val="longtext"/>
          <w:rFonts w:ascii="Times New Roman" w:hAnsi="Times New Roman"/>
          <w:sz w:val="28"/>
          <w:szCs w:val="28"/>
          <w:shd w:val="clear" w:color="auto" w:fill="FFFFFF"/>
        </w:rPr>
        <w:t>2</w:t>
      </w:r>
      <w:r w:rsidR="005A6EF5">
        <w:rPr>
          <w:rStyle w:val="longtext"/>
          <w:rFonts w:ascii="Times New Roman" w:hAnsi="Times New Roman"/>
          <w:sz w:val="28"/>
          <w:szCs w:val="28"/>
          <w:shd w:val="clear" w:color="auto" w:fill="FFFFFF"/>
          <w:lang w:val="kk-KZ"/>
        </w:rPr>
        <w:t>2</w:t>
      </w:r>
      <w:r>
        <w:rPr>
          <w:rStyle w:val="longtext"/>
          <w:rFonts w:ascii="Times New Roman" w:hAnsi="Times New Roman"/>
          <w:sz w:val="28"/>
          <w:szCs w:val="28"/>
          <w:shd w:val="clear" w:color="auto" w:fill="FFFFFF"/>
          <w:lang w:val="kk-KZ"/>
        </w:rPr>
        <w:t>.</w:t>
      </w:r>
      <w:r w:rsidR="005A6EF5" w:rsidRPr="00BF4D07">
        <w:rPr>
          <w:rStyle w:val="longtext"/>
          <w:rFonts w:ascii="Times New Roman" w:hAnsi="Times New Roman"/>
          <w:sz w:val="28"/>
          <w:szCs w:val="28"/>
          <w:shd w:val="clear" w:color="auto" w:fill="FFFFFF"/>
        </w:rPr>
        <w:t xml:space="preserve"> Many items of expenditure are complex. From these articles, the relevant parts related to intermediate consumption are separated. As part of business travel expenses, expenses for travel and accommodation fees, visa fees and miscellaneous travel-related fees are classified as intermediate consumption.</w:t>
      </w:r>
    </w:p>
    <w:p w:rsidR="005A6EF5" w:rsidRPr="00BF4D07" w:rsidRDefault="002D7B83" w:rsidP="005A6EF5">
      <w:pPr>
        <w:spacing w:line="240" w:lineRule="auto"/>
        <w:ind w:firstLine="708"/>
        <w:textAlignment w:val="top"/>
        <w:rPr>
          <w:rStyle w:val="longtext"/>
          <w:sz w:val="28"/>
          <w:szCs w:val="28"/>
          <w:shd w:val="clear" w:color="auto" w:fill="FFFFFF"/>
        </w:rPr>
      </w:pPr>
      <w:r>
        <w:rPr>
          <w:rStyle w:val="longtext"/>
          <w:sz w:val="28"/>
          <w:szCs w:val="28"/>
          <w:shd w:val="clear" w:color="auto" w:fill="FFFFFF"/>
        </w:rPr>
        <w:t>2</w:t>
      </w:r>
      <w:r w:rsidR="005A6EF5">
        <w:rPr>
          <w:rStyle w:val="longtext"/>
          <w:sz w:val="28"/>
          <w:szCs w:val="28"/>
          <w:shd w:val="clear" w:color="auto" w:fill="FFFFFF"/>
          <w:lang w:val="kk-KZ"/>
        </w:rPr>
        <w:t>3</w:t>
      </w:r>
      <w:r>
        <w:rPr>
          <w:rStyle w:val="longtext"/>
          <w:sz w:val="28"/>
          <w:szCs w:val="28"/>
          <w:shd w:val="clear" w:color="auto" w:fill="FFFFFF"/>
          <w:lang w:val="kk-KZ"/>
        </w:rPr>
        <w:t>.</w:t>
      </w:r>
      <w:r w:rsidR="005A6EF5" w:rsidRPr="00BF4D07">
        <w:rPr>
          <w:rStyle w:val="longtext"/>
          <w:sz w:val="28"/>
          <w:szCs w:val="28"/>
          <w:shd w:val="clear" w:color="auto" w:fill="FFFFFF"/>
        </w:rPr>
        <w:t xml:space="preserve"> Some expense items contain the values of transactions related to financial instruments, or the results of their revaluation, which are not included in current expenses and intermediate consumption in particular.</w:t>
      </w:r>
    </w:p>
    <w:p w:rsidR="005A6EF5" w:rsidRPr="00BF4D07" w:rsidRDefault="002D7B83" w:rsidP="005A6EF5">
      <w:pPr>
        <w:spacing w:line="240" w:lineRule="auto"/>
        <w:ind w:firstLine="708"/>
        <w:textAlignment w:val="top"/>
        <w:rPr>
          <w:rStyle w:val="longtext"/>
          <w:sz w:val="28"/>
          <w:szCs w:val="28"/>
          <w:highlight w:val="yellow"/>
          <w:shd w:val="clear" w:color="auto" w:fill="FFFFFF"/>
        </w:rPr>
      </w:pPr>
      <w:r>
        <w:rPr>
          <w:rStyle w:val="longtext"/>
          <w:sz w:val="28"/>
          <w:szCs w:val="28"/>
          <w:shd w:val="clear" w:color="auto" w:fill="FFFFFF"/>
        </w:rPr>
        <w:t>2</w:t>
      </w:r>
      <w:r w:rsidR="005A6EF5">
        <w:rPr>
          <w:rStyle w:val="longtext"/>
          <w:sz w:val="28"/>
          <w:szCs w:val="28"/>
          <w:shd w:val="clear" w:color="auto" w:fill="FFFFFF"/>
          <w:lang w:val="kk-KZ"/>
        </w:rPr>
        <w:t>4</w:t>
      </w:r>
      <w:r>
        <w:rPr>
          <w:rStyle w:val="longtext"/>
          <w:sz w:val="28"/>
          <w:szCs w:val="28"/>
          <w:shd w:val="clear" w:color="auto" w:fill="FFFFFF"/>
          <w:lang w:val="kk-KZ"/>
        </w:rPr>
        <w:t>.</w:t>
      </w:r>
      <w:r w:rsidR="005A6EF5" w:rsidRPr="00BF4D07">
        <w:rPr>
          <w:rStyle w:val="longtext"/>
          <w:sz w:val="28"/>
          <w:szCs w:val="28"/>
          <w:shd w:val="clear" w:color="auto" w:fill="FFFFFF"/>
        </w:rPr>
        <w:t xml:space="preserve"> Intermediate consumption of ancillary services is made up of the following report items:</w:t>
      </w:r>
    </w:p>
    <w:p w:rsidR="005A6EF5" w:rsidRPr="00BF4D07" w:rsidRDefault="005A6EF5" w:rsidP="005A6EF5">
      <w:pPr>
        <w:spacing w:line="240" w:lineRule="auto"/>
        <w:ind w:firstLine="708"/>
        <w:textAlignment w:val="top"/>
        <w:rPr>
          <w:rStyle w:val="longtext"/>
          <w:sz w:val="28"/>
          <w:szCs w:val="28"/>
          <w:shd w:val="clear" w:color="auto" w:fill="FFFFFF"/>
        </w:rPr>
      </w:pPr>
      <w:r w:rsidRPr="00BF4D07">
        <w:rPr>
          <w:rStyle w:val="longtext"/>
          <w:sz w:val="28"/>
          <w:szCs w:val="28"/>
          <w:shd w:val="clear" w:color="auto" w:fill="FFFFFF"/>
        </w:rPr>
        <w:t>1) expenses for amortization of discounts, premiums and interest on loans;</w:t>
      </w:r>
    </w:p>
    <w:p w:rsidR="005A6EF5" w:rsidRPr="00BF4D07" w:rsidRDefault="005A6EF5" w:rsidP="005A6EF5">
      <w:pPr>
        <w:spacing w:line="240" w:lineRule="auto"/>
        <w:ind w:firstLine="708"/>
        <w:textAlignment w:val="top"/>
        <w:rPr>
          <w:rStyle w:val="longtext"/>
          <w:sz w:val="28"/>
          <w:szCs w:val="28"/>
          <w:shd w:val="clear" w:color="auto" w:fill="FFFFFF"/>
        </w:rPr>
      </w:pPr>
      <w:r w:rsidRPr="00BF4D07">
        <w:rPr>
          <w:rStyle w:val="longtext"/>
          <w:sz w:val="28"/>
          <w:szCs w:val="28"/>
          <w:shd w:val="clear" w:color="auto" w:fill="FFFFFF"/>
        </w:rPr>
        <w:t>2) expenses on operations with securities;</w:t>
      </w:r>
    </w:p>
    <w:p w:rsidR="005A6EF5" w:rsidRPr="00BF4D07" w:rsidRDefault="005A6EF5" w:rsidP="005A6EF5">
      <w:pPr>
        <w:spacing w:line="240" w:lineRule="auto"/>
        <w:ind w:firstLine="708"/>
        <w:textAlignment w:val="top"/>
        <w:rPr>
          <w:rStyle w:val="longtext"/>
          <w:sz w:val="28"/>
          <w:szCs w:val="28"/>
          <w:shd w:val="clear" w:color="auto" w:fill="FFFFFF"/>
        </w:rPr>
      </w:pPr>
      <w:r w:rsidRPr="00BF4D07">
        <w:rPr>
          <w:rStyle w:val="longtext"/>
          <w:sz w:val="28"/>
          <w:szCs w:val="28"/>
          <w:shd w:val="clear" w:color="auto" w:fill="FFFFFF"/>
        </w:rPr>
        <w:t>3) commission expenses;</w:t>
      </w:r>
    </w:p>
    <w:p w:rsidR="005A6EF5" w:rsidRPr="00BF4D07" w:rsidRDefault="005A6EF5" w:rsidP="005A6EF5">
      <w:pPr>
        <w:spacing w:line="240" w:lineRule="auto"/>
        <w:ind w:firstLine="708"/>
        <w:textAlignment w:val="top"/>
        <w:rPr>
          <w:rStyle w:val="longtext"/>
          <w:sz w:val="28"/>
          <w:szCs w:val="28"/>
          <w:shd w:val="clear" w:color="auto" w:fill="FFFFFF"/>
        </w:rPr>
      </w:pPr>
      <w:r w:rsidRPr="00BF4D07">
        <w:rPr>
          <w:rStyle w:val="longtext"/>
          <w:sz w:val="28"/>
          <w:szCs w:val="28"/>
          <w:shd w:val="clear" w:color="auto" w:fill="FFFFFF"/>
        </w:rPr>
        <w:t>4) general business expenses;</w:t>
      </w:r>
    </w:p>
    <w:p w:rsidR="005A6EF5" w:rsidRPr="00BF4D07" w:rsidRDefault="005A6EF5" w:rsidP="005A6EF5">
      <w:pPr>
        <w:numPr>
          <w:ilvl w:val="0"/>
          <w:numId w:val="1"/>
        </w:numPr>
        <w:spacing w:line="240" w:lineRule="auto"/>
        <w:textAlignment w:val="top"/>
        <w:rPr>
          <w:rStyle w:val="longtext"/>
          <w:sz w:val="28"/>
          <w:szCs w:val="28"/>
          <w:shd w:val="clear" w:color="auto" w:fill="FFFFFF"/>
        </w:rPr>
      </w:pPr>
      <w:r w:rsidRPr="00BF4D07">
        <w:rPr>
          <w:rStyle w:val="longtext"/>
          <w:sz w:val="28"/>
          <w:szCs w:val="28"/>
          <w:shd w:val="clear" w:color="auto" w:fill="FFFFFF"/>
        </w:rPr>
        <w:t>selling expenses;</w:t>
      </w:r>
    </w:p>
    <w:p w:rsidR="005A6EF5" w:rsidRPr="00BF4D07" w:rsidRDefault="005A6EF5" w:rsidP="005A6EF5">
      <w:pPr>
        <w:spacing w:line="240" w:lineRule="auto"/>
        <w:ind w:firstLine="708"/>
        <w:textAlignment w:val="top"/>
        <w:rPr>
          <w:rStyle w:val="longtext"/>
          <w:sz w:val="28"/>
          <w:szCs w:val="28"/>
          <w:shd w:val="clear" w:color="auto" w:fill="FFFFFF"/>
        </w:rPr>
      </w:pPr>
      <w:r w:rsidRPr="00BF4D07">
        <w:rPr>
          <w:rStyle w:val="longtext"/>
          <w:sz w:val="28"/>
          <w:szCs w:val="28"/>
          <w:shd w:val="clear" w:color="auto" w:fill="FFFFFF"/>
        </w:rPr>
        <w:t>6) other expenses.</w:t>
      </w:r>
    </w:p>
    <w:p w:rsidR="005A6EF5" w:rsidRPr="00BF4D07" w:rsidRDefault="002D7B83" w:rsidP="005A6EF5">
      <w:pPr>
        <w:spacing w:line="240" w:lineRule="auto"/>
        <w:ind w:firstLine="708"/>
        <w:textAlignment w:val="top"/>
        <w:rPr>
          <w:sz w:val="28"/>
          <w:szCs w:val="28"/>
          <w:highlight w:val="yellow"/>
        </w:rPr>
      </w:pPr>
      <w:r>
        <w:rPr>
          <w:rStyle w:val="longtext"/>
          <w:sz w:val="28"/>
          <w:szCs w:val="28"/>
          <w:shd w:val="clear" w:color="auto" w:fill="FFFFFF"/>
        </w:rPr>
        <w:t>2</w:t>
      </w:r>
      <w:r w:rsidR="005A6EF5">
        <w:rPr>
          <w:rStyle w:val="longtext"/>
          <w:sz w:val="28"/>
          <w:szCs w:val="28"/>
          <w:shd w:val="clear" w:color="auto" w:fill="FFFFFF"/>
          <w:lang w:val="kk-KZ"/>
        </w:rPr>
        <w:t>5</w:t>
      </w:r>
      <w:r>
        <w:rPr>
          <w:rStyle w:val="longtext"/>
          <w:sz w:val="28"/>
          <w:szCs w:val="28"/>
          <w:shd w:val="clear" w:color="auto" w:fill="FFFFFF"/>
          <w:lang w:val="kk-KZ"/>
        </w:rPr>
        <w:t>.</w:t>
      </w:r>
      <w:r w:rsidR="005A6EF5" w:rsidRPr="00BF4D07">
        <w:rPr>
          <w:rStyle w:val="longtext"/>
          <w:sz w:val="28"/>
          <w:szCs w:val="28"/>
          <w:shd w:val="clear" w:color="auto" w:fill="FFFFFF"/>
        </w:rPr>
        <w:t xml:space="preserve"> The difference between output and intermediate consumption determines the GVA of banks. Calculations of intermediate consumption and GVA of services of financial activities of second-tier banks are given in Appendices 2 and 3 to this Methodology.</w:t>
      </w:r>
    </w:p>
    <w:p w:rsidR="005A6EF5" w:rsidRPr="00E62108" w:rsidRDefault="005A6EF5" w:rsidP="005A6EF5">
      <w:pPr>
        <w:pStyle w:val="21"/>
        <w:shd w:val="clear" w:color="auto" w:fill="auto"/>
        <w:tabs>
          <w:tab w:val="left" w:pos="313"/>
          <w:tab w:val="left" w:pos="993"/>
        </w:tabs>
        <w:spacing w:before="0" w:line="240" w:lineRule="auto"/>
        <w:ind w:firstLine="4820"/>
        <w:jc w:val="right"/>
        <w:rPr>
          <w:sz w:val="28"/>
          <w:szCs w:val="28"/>
        </w:rPr>
      </w:pPr>
      <w:r>
        <w:rPr>
          <w:sz w:val="28"/>
          <w:szCs w:val="28"/>
        </w:rPr>
        <w:br w:type="page"/>
      </w:r>
      <w:r>
        <w:rPr>
          <w:sz w:val="28"/>
          <w:szCs w:val="28"/>
        </w:rPr>
        <w:lastRenderedPageBreak/>
        <w:t xml:space="preserve"> </w:t>
      </w:r>
      <w:r w:rsidR="00F320A0">
        <w:rPr>
          <w:sz w:val="28"/>
          <w:szCs w:val="28"/>
        </w:rPr>
        <w:t>Appendix 1</w:t>
      </w:r>
    </w:p>
    <w:p w:rsidR="005A6EF5" w:rsidRPr="00E62108" w:rsidRDefault="005A6EF5" w:rsidP="00F320A0">
      <w:pPr>
        <w:pStyle w:val="21"/>
        <w:shd w:val="clear" w:color="auto" w:fill="auto"/>
        <w:tabs>
          <w:tab w:val="left" w:pos="313"/>
          <w:tab w:val="left" w:pos="993"/>
        </w:tabs>
        <w:spacing w:before="0" w:line="240" w:lineRule="auto"/>
        <w:ind w:firstLine="4820"/>
        <w:jc w:val="right"/>
        <w:rPr>
          <w:sz w:val="28"/>
          <w:szCs w:val="28"/>
        </w:rPr>
      </w:pPr>
      <w:r w:rsidRPr="00E62108">
        <w:rPr>
          <w:sz w:val="28"/>
          <w:szCs w:val="28"/>
        </w:rPr>
        <w:t>to the Methodology for accounting for financial services of second-tier banks</w:t>
      </w:r>
    </w:p>
    <w:p w:rsidR="005A6EF5" w:rsidRPr="00BF4D07" w:rsidRDefault="005A6EF5" w:rsidP="005A6EF5">
      <w:pPr>
        <w:spacing w:line="240" w:lineRule="auto"/>
        <w:ind w:left="4248"/>
        <w:jc w:val="center"/>
        <w:rPr>
          <w:i/>
          <w:sz w:val="28"/>
          <w:szCs w:val="28"/>
        </w:rPr>
      </w:pPr>
    </w:p>
    <w:p w:rsidR="005A6EF5" w:rsidRPr="00BF4D07" w:rsidRDefault="005A6EF5" w:rsidP="005A6EF5">
      <w:pPr>
        <w:spacing w:line="240" w:lineRule="auto"/>
        <w:ind w:left="4248"/>
        <w:jc w:val="center"/>
        <w:rPr>
          <w:sz w:val="28"/>
          <w:szCs w:val="28"/>
        </w:rPr>
      </w:pPr>
    </w:p>
    <w:p w:rsidR="005A6EF5" w:rsidRDefault="005A6EF5" w:rsidP="005A6EF5">
      <w:pPr>
        <w:spacing w:line="240" w:lineRule="auto"/>
        <w:ind w:firstLine="0"/>
        <w:jc w:val="center"/>
        <w:rPr>
          <w:rStyle w:val="longtext"/>
          <w:b/>
          <w:sz w:val="28"/>
          <w:szCs w:val="28"/>
          <w:shd w:val="clear" w:color="auto" w:fill="FFFFFF"/>
        </w:rPr>
      </w:pPr>
      <w:r w:rsidRPr="00E067A0">
        <w:rPr>
          <w:b/>
          <w:sz w:val="28"/>
          <w:szCs w:val="28"/>
        </w:rPr>
        <w:t xml:space="preserve">Calculation of the output </w:t>
      </w:r>
      <w:r w:rsidRPr="00E067A0">
        <w:rPr>
          <w:rStyle w:val="longtext"/>
          <w:b/>
          <w:sz w:val="28"/>
          <w:szCs w:val="28"/>
          <w:shd w:val="clear" w:color="auto" w:fill="FFFFFF"/>
        </w:rPr>
        <w:t>of financial services of second-tier banks</w:t>
      </w:r>
    </w:p>
    <w:p w:rsidR="005A6EF5" w:rsidRPr="00E067A0" w:rsidRDefault="005A6EF5" w:rsidP="005A6EF5">
      <w:pPr>
        <w:spacing w:line="240" w:lineRule="auto"/>
        <w:ind w:firstLine="0"/>
        <w:jc w:val="center"/>
        <w:rPr>
          <w:b/>
          <w:sz w:val="28"/>
          <w:szCs w:val="28"/>
        </w:rPr>
      </w:pPr>
    </w:p>
    <w:p w:rsidR="005A6EF5" w:rsidRPr="00EB1552" w:rsidRDefault="005A6EF5" w:rsidP="005A6EF5">
      <w:pPr>
        <w:spacing w:line="240" w:lineRule="auto"/>
        <w:jc w:val="right"/>
        <w:rPr>
          <w:sz w:val="24"/>
          <w:szCs w:val="24"/>
        </w:rPr>
      </w:pPr>
      <w:r w:rsidRPr="00EB1552">
        <w:rPr>
          <w:bCs/>
          <w:sz w:val="24"/>
          <w:szCs w:val="24"/>
        </w:rPr>
        <w:t>million tenge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1"/>
        <w:gridCol w:w="3737"/>
        <w:gridCol w:w="1567"/>
        <w:gridCol w:w="1567"/>
        <w:gridCol w:w="1565"/>
      </w:tblGrid>
      <w:tr w:rsidR="005A6EF5" w:rsidRPr="00EB1552" w:rsidTr="00426D31">
        <w:trPr>
          <w:trHeight w:val="440"/>
          <w:tblHeader/>
        </w:trPr>
        <w:tc>
          <w:tcPr>
            <w:tcW w:w="618" w:type="pct"/>
            <w:shd w:val="clear" w:color="auto" w:fill="auto"/>
            <w:vAlign w:val="center"/>
          </w:tcPr>
          <w:p w:rsidR="005A6EF5" w:rsidRPr="00EB1552" w:rsidRDefault="005A6EF5" w:rsidP="00426D31">
            <w:pPr>
              <w:spacing w:line="240" w:lineRule="auto"/>
              <w:ind w:firstLine="0"/>
              <w:jc w:val="center"/>
              <w:rPr>
                <w:b/>
                <w:bCs/>
                <w:sz w:val="24"/>
                <w:szCs w:val="24"/>
              </w:rPr>
            </w:pPr>
            <w:r w:rsidRPr="00EB1552">
              <w:rPr>
                <w:b/>
                <w:bCs/>
                <w:sz w:val="24"/>
                <w:szCs w:val="24"/>
              </w:rPr>
              <w:t>Account number</w:t>
            </w:r>
          </w:p>
        </w:tc>
        <w:tc>
          <w:tcPr>
            <w:tcW w:w="1941" w:type="pct"/>
            <w:shd w:val="clear" w:color="auto" w:fill="auto"/>
            <w:vAlign w:val="center"/>
          </w:tcPr>
          <w:p w:rsidR="005A6EF5" w:rsidRPr="00EB1552" w:rsidRDefault="005A6EF5" w:rsidP="00426D31">
            <w:pPr>
              <w:spacing w:line="240" w:lineRule="auto"/>
              <w:ind w:firstLine="0"/>
              <w:jc w:val="center"/>
              <w:rPr>
                <w:b/>
                <w:bCs/>
                <w:sz w:val="24"/>
                <w:szCs w:val="24"/>
              </w:rPr>
            </w:pPr>
            <w:r w:rsidRPr="00EB1552">
              <w:rPr>
                <w:b/>
                <w:bCs/>
                <w:sz w:val="24"/>
                <w:szCs w:val="24"/>
              </w:rPr>
              <w:t>"Report on income and expenses for second-tier banks of the Republic of Kazakhstan"</w:t>
            </w:r>
          </w:p>
        </w:tc>
        <w:tc>
          <w:tcPr>
            <w:tcW w:w="814" w:type="pct"/>
            <w:vAlign w:val="center"/>
          </w:tcPr>
          <w:p w:rsidR="005A6EF5" w:rsidRPr="00EB1552" w:rsidRDefault="005A6EF5" w:rsidP="00426D31">
            <w:pPr>
              <w:spacing w:line="240" w:lineRule="auto"/>
              <w:ind w:firstLine="0"/>
              <w:jc w:val="center"/>
              <w:rPr>
                <w:b/>
                <w:bCs/>
                <w:sz w:val="24"/>
                <w:szCs w:val="24"/>
              </w:rPr>
            </w:pPr>
            <w:r w:rsidRPr="00EB1552">
              <w:rPr>
                <w:b/>
                <w:bCs/>
                <w:sz w:val="24"/>
                <w:szCs w:val="24"/>
              </w:rPr>
              <w:t>2013</w:t>
            </w:r>
          </w:p>
        </w:tc>
        <w:tc>
          <w:tcPr>
            <w:tcW w:w="814" w:type="pct"/>
            <w:vAlign w:val="center"/>
          </w:tcPr>
          <w:p w:rsidR="005A6EF5" w:rsidRPr="00EB1552" w:rsidRDefault="005A6EF5" w:rsidP="00426D31">
            <w:pPr>
              <w:spacing w:line="240" w:lineRule="auto"/>
              <w:ind w:firstLine="0"/>
              <w:jc w:val="center"/>
              <w:rPr>
                <w:b/>
                <w:bCs/>
                <w:sz w:val="24"/>
                <w:szCs w:val="24"/>
              </w:rPr>
            </w:pPr>
            <w:r w:rsidRPr="00EB1552">
              <w:rPr>
                <w:b/>
                <w:bCs/>
                <w:sz w:val="24"/>
                <w:szCs w:val="24"/>
              </w:rPr>
              <w:t>2014</w:t>
            </w:r>
          </w:p>
        </w:tc>
        <w:tc>
          <w:tcPr>
            <w:tcW w:w="813" w:type="pct"/>
            <w:shd w:val="clear" w:color="auto" w:fill="auto"/>
            <w:vAlign w:val="center"/>
          </w:tcPr>
          <w:p w:rsidR="005A6EF5" w:rsidRPr="00EB1552" w:rsidRDefault="005A6EF5" w:rsidP="00426D31">
            <w:pPr>
              <w:spacing w:line="240" w:lineRule="auto"/>
              <w:ind w:firstLine="0"/>
              <w:jc w:val="center"/>
              <w:rPr>
                <w:b/>
                <w:bCs/>
                <w:sz w:val="24"/>
                <w:szCs w:val="24"/>
              </w:rPr>
            </w:pPr>
            <w:r w:rsidRPr="00EB1552">
              <w:rPr>
                <w:b/>
                <w:bCs/>
                <w:sz w:val="24"/>
                <w:szCs w:val="24"/>
              </w:rPr>
              <w:t>2015</w:t>
            </w:r>
          </w:p>
        </w:tc>
      </w:tr>
      <w:tr w:rsidR="005A6EF5" w:rsidRPr="00EB1552" w:rsidTr="00426D31">
        <w:trPr>
          <w:trHeight w:val="413"/>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4429</w:t>
            </w:r>
          </w:p>
        </w:tc>
        <w:tc>
          <w:tcPr>
            <w:tcW w:w="1941"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Commission on loans granted to customers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17,268.0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25,459.5</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19,783.0</w:t>
            </w:r>
          </w:p>
        </w:tc>
      </w:tr>
      <w:tr w:rsidR="005A6EF5" w:rsidRPr="00EB1552" w:rsidTr="00426D31">
        <w:trPr>
          <w:trHeight w:val="363"/>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4434</w:t>
            </w:r>
          </w:p>
        </w:tc>
        <w:tc>
          <w:tcPr>
            <w:tcW w:w="1941"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Income from amortization of discount on loans to customers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55,444.0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73,674.5</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95,348.3</w:t>
            </w:r>
          </w:p>
        </w:tc>
      </w:tr>
      <w:tr w:rsidR="005A6EF5" w:rsidRPr="00EB1552" w:rsidTr="00426D31">
        <w:trPr>
          <w:trHeight w:val="412"/>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4440</w:t>
            </w:r>
          </w:p>
        </w:tc>
        <w:tc>
          <w:tcPr>
            <w:tcW w:w="1941"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Income from amortization of premiums on deposits attracted from customers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893.0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1,059.7</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59,537.4</w:t>
            </w:r>
          </w:p>
        </w:tc>
      </w:tr>
      <w:tr w:rsidR="005A6EF5" w:rsidRPr="00EB1552" w:rsidTr="00426D31">
        <w:trPr>
          <w:trHeight w:val="220"/>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4445</w:t>
            </w:r>
          </w:p>
        </w:tc>
        <w:tc>
          <w:tcPr>
            <w:tcW w:w="1941"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Income related to the receipt of interest on financial assets transferred to trust (trust) management</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0.0</w:t>
            </w:r>
          </w:p>
        </w:tc>
      </w:tr>
      <w:tr w:rsidR="005A6EF5" w:rsidRPr="00EB1552" w:rsidTr="00426D31">
        <w:trPr>
          <w:trHeight w:val="220"/>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4453</w:t>
            </w:r>
          </w:p>
        </w:tc>
        <w:tc>
          <w:tcPr>
            <w:tcW w:w="1941"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Income from amortization of discount on purchased securities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3,296.0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3483.6</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3515.4</w:t>
            </w:r>
          </w:p>
        </w:tc>
      </w:tr>
      <w:tr w:rsidR="005A6EF5" w:rsidRPr="00EB1552" w:rsidTr="00426D31">
        <w:trPr>
          <w:trHeight w:val="220"/>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4454</w:t>
            </w:r>
          </w:p>
        </w:tc>
        <w:tc>
          <w:tcPr>
            <w:tcW w:w="1941"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Income from amortization of premiums on outstanding securities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1293.0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2459.7</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1603.3</w:t>
            </w:r>
          </w:p>
        </w:tc>
      </w:tr>
      <w:tr w:rsidR="005A6EF5" w:rsidRPr="00EB1552" w:rsidTr="00426D31">
        <w:trPr>
          <w:trHeight w:val="220"/>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4455</w:t>
            </w:r>
          </w:p>
        </w:tc>
        <w:tc>
          <w:tcPr>
            <w:tcW w:w="1941"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Income from the amortization of the premium on outstanding subordinated bonds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305.0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872.2</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1950.6</w:t>
            </w:r>
          </w:p>
        </w:tc>
      </w:tr>
      <w:tr w:rsidR="005A6EF5" w:rsidRPr="00EB1552" w:rsidTr="00426D31">
        <w:trPr>
          <w:trHeight w:val="616"/>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4492</w:t>
            </w:r>
          </w:p>
        </w:tc>
        <w:tc>
          <w:tcPr>
            <w:tcW w:w="1941"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Income from amortization of discount on other debt instruments in the category "loans and receivables"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129.0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267.0</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1143.3</w:t>
            </w:r>
          </w:p>
        </w:tc>
      </w:tr>
      <w:tr w:rsidR="005A6EF5" w:rsidRPr="00EB1552" w:rsidTr="00426D31">
        <w:trPr>
          <w:trHeight w:val="220"/>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4510</w:t>
            </w:r>
          </w:p>
        </w:tc>
        <w:tc>
          <w:tcPr>
            <w:tcW w:w="1941"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Income from the purchase and sale of securities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1,122.0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1608.1</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2952.3</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4530</w:t>
            </w:r>
          </w:p>
        </w:tc>
        <w:tc>
          <w:tcPr>
            <w:tcW w:w="1941"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Income from the purchase and sale of foreign currency</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116 318.0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155,054.5</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369,052.8</w:t>
            </w:r>
          </w:p>
        </w:tc>
      </w:tr>
      <w:tr w:rsidR="005A6EF5" w:rsidRPr="00EB1552" w:rsidTr="00426D31">
        <w:trPr>
          <w:trHeight w:val="220"/>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4540</w:t>
            </w:r>
          </w:p>
        </w:tc>
        <w:tc>
          <w:tcPr>
            <w:tcW w:w="1941"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Income from the purchase and sale of precious metals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1030.0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196.4</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221.0</w:t>
            </w:r>
          </w:p>
        </w:tc>
      </w:tr>
      <w:tr w:rsidR="005A6EF5" w:rsidRPr="00EB1552" w:rsidTr="00426D31">
        <w:trPr>
          <w:trHeight w:val="263"/>
        </w:trPr>
        <w:tc>
          <w:tcPr>
            <w:tcW w:w="618" w:type="pct"/>
            <w:shd w:val="clear" w:color="auto" w:fill="auto"/>
            <w:vAlign w:val="center"/>
          </w:tcPr>
          <w:p w:rsidR="005A6EF5" w:rsidRPr="00EB1552" w:rsidRDefault="005A6EF5" w:rsidP="00426D31">
            <w:pPr>
              <w:spacing w:line="240" w:lineRule="auto"/>
              <w:ind w:firstLine="0"/>
              <w:jc w:val="center"/>
              <w:rPr>
                <w:b/>
                <w:sz w:val="24"/>
                <w:szCs w:val="24"/>
              </w:rPr>
            </w:pPr>
            <w:r w:rsidRPr="00EB1552">
              <w:rPr>
                <w:b/>
                <w:sz w:val="24"/>
                <w:szCs w:val="24"/>
              </w:rPr>
              <w:t>4600</w:t>
            </w:r>
          </w:p>
        </w:tc>
        <w:tc>
          <w:tcPr>
            <w:tcW w:w="1941" w:type="pct"/>
            <w:shd w:val="clear" w:color="auto" w:fill="auto"/>
            <w:vAlign w:val="bottom"/>
          </w:tcPr>
          <w:p w:rsidR="005A6EF5" w:rsidRPr="00EB1552" w:rsidRDefault="005A6EF5" w:rsidP="00426D31">
            <w:pPr>
              <w:spacing w:line="240" w:lineRule="auto"/>
              <w:ind w:firstLine="0"/>
              <w:rPr>
                <w:b/>
                <w:sz w:val="24"/>
                <w:szCs w:val="24"/>
              </w:rPr>
            </w:pPr>
            <w:r w:rsidRPr="00EB1552">
              <w:rPr>
                <w:b/>
                <w:sz w:val="24"/>
                <w:szCs w:val="24"/>
              </w:rPr>
              <w:t>Fee and commission income</w:t>
            </w:r>
          </w:p>
        </w:tc>
        <w:tc>
          <w:tcPr>
            <w:tcW w:w="814" w:type="pct"/>
            <w:vAlign w:val="bottom"/>
          </w:tcPr>
          <w:p w:rsidR="005A6EF5" w:rsidRPr="00EB1552" w:rsidRDefault="005A6EF5" w:rsidP="00426D31">
            <w:pPr>
              <w:spacing w:line="240" w:lineRule="auto"/>
              <w:ind w:firstLine="0"/>
              <w:jc w:val="right"/>
              <w:rPr>
                <w:b/>
                <w:sz w:val="24"/>
                <w:szCs w:val="24"/>
              </w:rPr>
            </w:pPr>
            <w:r w:rsidRPr="00EB1552">
              <w:rPr>
                <w:b/>
                <w:sz w:val="24"/>
                <w:szCs w:val="24"/>
              </w:rPr>
              <w:t>283 803.5</w:t>
            </w:r>
          </w:p>
        </w:tc>
        <w:tc>
          <w:tcPr>
            <w:tcW w:w="814" w:type="pct"/>
            <w:vAlign w:val="bottom"/>
          </w:tcPr>
          <w:p w:rsidR="005A6EF5" w:rsidRPr="00EB1552" w:rsidRDefault="005A6EF5" w:rsidP="00426D31">
            <w:pPr>
              <w:spacing w:line="240" w:lineRule="auto"/>
              <w:ind w:firstLine="0"/>
              <w:jc w:val="right"/>
              <w:rPr>
                <w:b/>
                <w:sz w:val="24"/>
                <w:szCs w:val="24"/>
              </w:rPr>
            </w:pPr>
            <w:r w:rsidRPr="00EB1552">
              <w:rPr>
                <w:b/>
                <w:sz w:val="24"/>
                <w:szCs w:val="24"/>
              </w:rPr>
              <w:t>295 868.8</w:t>
            </w:r>
          </w:p>
        </w:tc>
        <w:tc>
          <w:tcPr>
            <w:tcW w:w="813" w:type="pct"/>
            <w:shd w:val="clear" w:color="auto" w:fill="auto"/>
            <w:vAlign w:val="bottom"/>
          </w:tcPr>
          <w:p w:rsidR="005A6EF5" w:rsidRPr="00EB1552" w:rsidRDefault="005A6EF5" w:rsidP="00426D31">
            <w:pPr>
              <w:spacing w:line="240" w:lineRule="auto"/>
              <w:ind w:firstLine="0"/>
              <w:jc w:val="right"/>
              <w:rPr>
                <w:b/>
                <w:sz w:val="24"/>
                <w:szCs w:val="24"/>
              </w:rPr>
            </w:pPr>
            <w:r w:rsidRPr="00EB1552">
              <w:rPr>
                <w:b/>
                <w:sz w:val="24"/>
                <w:szCs w:val="24"/>
              </w:rPr>
              <w:t>311 937.9</w:t>
            </w:r>
          </w:p>
        </w:tc>
      </w:tr>
      <w:tr w:rsidR="005A6EF5" w:rsidRPr="00EB1552" w:rsidTr="00426D31">
        <w:trPr>
          <w:trHeight w:val="242"/>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4601</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Fee income from transfer services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60,532.0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64,846.2</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66,651.7</w:t>
            </w:r>
          </w:p>
        </w:tc>
      </w:tr>
      <w:tr w:rsidR="005A6EF5" w:rsidRPr="00EB1552" w:rsidTr="00426D31">
        <w:trPr>
          <w:trHeight w:val="220"/>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4602</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Commission income for agency services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20,025.5</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15,985.4</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16,940.4</w:t>
            </w:r>
          </w:p>
        </w:tc>
      </w:tr>
      <w:tr w:rsidR="005A6EF5" w:rsidRPr="00EB1552" w:rsidTr="00426D31">
        <w:trPr>
          <w:trHeight w:val="220"/>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4603</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Fee income for services related to the purchase and sale of securities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11.9</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17.0</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17.7</w:t>
            </w:r>
          </w:p>
        </w:tc>
      </w:tr>
      <w:tr w:rsidR="005A6EF5" w:rsidRPr="00EB1552" w:rsidTr="00426D31">
        <w:trPr>
          <w:trHeight w:val="220"/>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4604</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Commission income for services in the purchase and sale of foreign currency</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9,012.9</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11,232.5</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8,592.6</w:t>
            </w:r>
          </w:p>
        </w:tc>
      </w:tr>
      <w:tr w:rsidR="005A6EF5" w:rsidRPr="00EB1552" w:rsidTr="00426D31">
        <w:trPr>
          <w:trHeight w:val="220"/>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lastRenderedPageBreak/>
              <w:t>4605</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Fee and commission income for fiduciary services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565.8</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641.3</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721.9</w:t>
            </w:r>
          </w:p>
        </w:tc>
      </w:tr>
      <w:tr w:rsidR="005A6EF5" w:rsidRPr="00EB1552" w:rsidTr="00426D31">
        <w:trPr>
          <w:trHeight w:val="45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4606</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Fee and commission income for guarantee services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26,692.5</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20,580.2</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21,701.3</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4607</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Fee and commission income for services on accepting deposits, opening and maintaining bank accounts of clients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23,616.5</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27,076.9</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28,929.6</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4608</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Other fee and commission income</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77,528.0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98,922.4</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113,635.3</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4609</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Commission income from professional activities in the securities market</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2031.8</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1114.8</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1216.3</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4610</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Commission income received from the acceptance of payment documents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2.6</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1.0</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0.0</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4611</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Fee income for services on cash transactions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49,973.0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46,022.7</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42,082.5</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4612</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Fee income from documentary settlements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11,301.3</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6460.5</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5956.7</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4613</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Fee income from forfaiting services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0.0</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4614</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Fee income for factoring services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18.7</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43.1</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12.3</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4615</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Commission income for cash collection services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1319.7</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1508.7</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1,854.1</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4616</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Commission income for services on the sale and purchase of refined precious metals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2.5</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2.0</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1.0</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4617</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Commission income for safe deposit services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575.0</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647.8</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698.6</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4618</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Income for services on operations with investment deposits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593.8</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766.3</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2925.9</w:t>
            </w:r>
          </w:p>
        </w:tc>
      </w:tr>
      <w:tr w:rsidR="005A6EF5" w:rsidRPr="00EB1552" w:rsidTr="00426D31">
        <w:trPr>
          <w:trHeight w:val="158"/>
        </w:trPr>
        <w:tc>
          <w:tcPr>
            <w:tcW w:w="618" w:type="pct"/>
            <w:shd w:val="clear" w:color="auto" w:fill="auto"/>
            <w:vAlign w:val="center"/>
          </w:tcPr>
          <w:p w:rsidR="005A6EF5" w:rsidRPr="00EB1552" w:rsidRDefault="005A6EF5" w:rsidP="00426D31">
            <w:pPr>
              <w:spacing w:line="240" w:lineRule="auto"/>
              <w:ind w:firstLine="0"/>
              <w:jc w:val="center"/>
              <w:rPr>
                <w:sz w:val="24"/>
                <w:szCs w:val="24"/>
              </w:rPr>
            </w:pPr>
          </w:p>
        </w:tc>
        <w:tc>
          <w:tcPr>
            <w:tcW w:w="1941" w:type="pct"/>
            <w:shd w:val="clear" w:color="auto" w:fill="auto"/>
            <w:vAlign w:val="bottom"/>
          </w:tcPr>
          <w:p w:rsidR="005A6EF5" w:rsidRPr="00EB1552" w:rsidRDefault="005A6EF5" w:rsidP="00426D31">
            <w:pPr>
              <w:spacing w:line="240" w:lineRule="auto"/>
              <w:ind w:firstLine="0"/>
              <w:rPr>
                <w:b/>
                <w:sz w:val="24"/>
                <w:szCs w:val="24"/>
              </w:rPr>
            </w:pPr>
            <w:r w:rsidRPr="00EB1552">
              <w:rPr>
                <w:b/>
                <w:sz w:val="24"/>
                <w:szCs w:val="24"/>
              </w:rPr>
              <w:t>Other income</w:t>
            </w:r>
          </w:p>
        </w:tc>
        <w:tc>
          <w:tcPr>
            <w:tcW w:w="814" w:type="pct"/>
            <w:vAlign w:val="bottom"/>
          </w:tcPr>
          <w:p w:rsidR="005A6EF5" w:rsidRPr="00EB1552" w:rsidRDefault="005A6EF5" w:rsidP="00426D31">
            <w:pPr>
              <w:spacing w:line="240" w:lineRule="auto"/>
              <w:ind w:firstLine="0"/>
              <w:jc w:val="right"/>
              <w:rPr>
                <w:b/>
                <w:sz w:val="24"/>
                <w:szCs w:val="24"/>
              </w:rPr>
            </w:pPr>
            <w:r w:rsidRPr="00EB1552">
              <w:rPr>
                <w:b/>
                <w:sz w:val="24"/>
                <w:szCs w:val="24"/>
              </w:rPr>
              <w:t>114 303.3</w:t>
            </w:r>
          </w:p>
        </w:tc>
        <w:tc>
          <w:tcPr>
            <w:tcW w:w="814" w:type="pct"/>
            <w:vAlign w:val="bottom"/>
          </w:tcPr>
          <w:p w:rsidR="005A6EF5" w:rsidRPr="00EB1552" w:rsidRDefault="005A6EF5" w:rsidP="00426D31">
            <w:pPr>
              <w:spacing w:line="240" w:lineRule="auto"/>
              <w:ind w:firstLine="0"/>
              <w:jc w:val="right"/>
              <w:rPr>
                <w:b/>
                <w:sz w:val="24"/>
                <w:szCs w:val="24"/>
              </w:rPr>
            </w:pPr>
            <w:r w:rsidRPr="00EB1552">
              <w:rPr>
                <w:b/>
                <w:sz w:val="24"/>
                <w:szCs w:val="24"/>
              </w:rPr>
              <w:t>205 475.1</w:t>
            </w:r>
          </w:p>
        </w:tc>
        <w:tc>
          <w:tcPr>
            <w:tcW w:w="813" w:type="pct"/>
            <w:shd w:val="clear" w:color="auto" w:fill="auto"/>
            <w:vAlign w:val="bottom"/>
          </w:tcPr>
          <w:p w:rsidR="005A6EF5" w:rsidRPr="00EB1552" w:rsidRDefault="005A6EF5" w:rsidP="00426D31">
            <w:pPr>
              <w:spacing w:line="240" w:lineRule="auto"/>
              <w:ind w:firstLine="0"/>
              <w:jc w:val="right"/>
              <w:rPr>
                <w:b/>
                <w:sz w:val="24"/>
                <w:szCs w:val="24"/>
              </w:rPr>
            </w:pPr>
            <w:r w:rsidRPr="00EB1552">
              <w:rPr>
                <w:b/>
                <w:sz w:val="24"/>
                <w:szCs w:val="24"/>
              </w:rPr>
              <w:t>36,846.4</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4921</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Other banking income</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107,647.7</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200 783.2</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31,244.1</w:t>
            </w:r>
          </w:p>
        </w:tc>
      </w:tr>
      <w:tr w:rsidR="005A6EF5" w:rsidRPr="00EB1552" w:rsidTr="00426D31">
        <w:trPr>
          <w:trHeight w:val="231"/>
        </w:trPr>
        <w:tc>
          <w:tcPr>
            <w:tcW w:w="618"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4922</w:t>
            </w:r>
          </w:p>
        </w:tc>
        <w:tc>
          <w:tcPr>
            <w:tcW w:w="1941" w:type="pct"/>
            <w:shd w:val="clear" w:color="auto" w:fill="auto"/>
            <w:vAlign w:val="bottom"/>
          </w:tcPr>
          <w:p w:rsidR="005A6EF5" w:rsidRPr="00EB1552" w:rsidRDefault="005A6EF5" w:rsidP="00426D31">
            <w:pPr>
              <w:spacing w:line="240" w:lineRule="auto"/>
              <w:ind w:firstLine="0"/>
              <w:rPr>
                <w:sz w:val="24"/>
                <w:szCs w:val="24"/>
              </w:rPr>
            </w:pPr>
            <w:r w:rsidRPr="00EB1552">
              <w:rPr>
                <w:sz w:val="24"/>
                <w:szCs w:val="24"/>
              </w:rPr>
              <w:t>Other income from non-core activities</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6,655.6</w:t>
            </w:r>
          </w:p>
        </w:tc>
        <w:tc>
          <w:tcPr>
            <w:tcW w:w="814" w:type="pct"/>
            <w:vAlign w:val="bottom"/>
          </w:tcPr>
          <w:p w:rsidR="005A6EF5" w:rsidRPr="00EB1552" w:rsidRDefault="005A6EF5" w:rsidP="00426D31">
            <w:pPr>
              <w:spacing w:line="240" w:lineRule="auto"/>
              <w:ind w:firstLine="0"/>
              <w:jc w:val="right"/>
              <w:rPr>
                <w:sz w:val="24"/>
                <w:szCs w:val="24"/>
              </w:rPr>
            </w:pPr>
            <w:r w:rsidRPr="00EB1552">
              <w:rPr>
                <w:sz w:val="24"/>
                <w:szCs w:val="24"/>
              </w:rPr>
              <w:t>4,691.9</w:t>
            </w:r>
          </w:p>
        </w:tc>
        <w:tc>
          <w:tcPr>
            <w:tcW w:w="813"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5602.4</w:t>
            </w:r>
          </w:p>
        </w:tc>
      </w:tr>
      <w:tr w:rsidR="005A6EF5" w:rsidRPr="00EB1552" w:rsidTr="00426D31">
        <w:trPr>
          <w:trHeight w:val="181"/>
        </w:trPr>
        <w:tc>
          <w:tcPr>
            <w:tcW w:w="618" w:type="pct"/>
            <w:shd w:val="clear" w:color="auto" w:fill="auto"/>
            <w:vAlign w:val="bottom"/>
          </w:tcPr>
          <w:p w:rsidR="005A6EF5" w:rsidRPr="00EB1552" w:rsidRDefault="005A6EF5" w:rsidP="00426D31">
            <w:pPr>
              <w:spacing w:line="240" w:lineRule="auto"/>
              <w:ind w:firstLine="0"/>
              <w:jc w:val="center"/>
              <w:rPr>
                <w:bCs/>
                <w:sz w:val="24"/>
                <w:szCs w:val="24"/>
                <w:highlight w:val="yellow"/>
              </w:rPr>
            </w:pPr>
          </w:p>
        </w:tc>
        <w:tc>
          <w:tcPr>
            <w:tcW w:w="1941" w:type="pct"/>
            <w:shd w:val="clear" w:color="auto" w:fill="auto"/>
            <w:vAlign w:val="bottom"/>
          </w:tcPr>
          <w:p w:rsidR="005A6EF5" w:rsidRPr="00EB1552" w:rsidRDefault="005A6EF5" w:rsidP="00426D31">
            <w:pPr>
              <w:spacing w:line="240" w:lineRule="auto"/>
              <w:ind w:firstLine="0"/>
              <w:jc w:val="left"/>
              <w:rPr>
                <w:b/>
                <w:sz w:val="24"/>
                <w:szCs w:val="24"/>
              </w:rPr>
            </w:pPr>
            <w:r w:rsidRPr="00EB1552">
              <w:rPr>
                <w:b/>
                <w:sz w:val="24"/>
                <w:szCs w:val="24"/>
              </w:rPr>
              <w:t>TOTAL issue</w:t>
            </w:r>
          </w:p>
        </w:tc>
        <w:tc>
          <w:tcPr>
            <w:tcW w:w="814" w:type="pct"/>
            <w:vAlign w:val="bottom"/>
          </w:tcPr>
          <w:p w:rsidR="005A6EF5" w:rsidRPr="00EB1552" w:rsidRDefault="005A6EF5" w:rsidP="00426D31">
            <w:pPr>
              <w:spacing w:line="240" w:lineRule="auto"/>
              <w:ind w:firstLine="0"/>
              <w:jc w:val="right"/>
              <w:rPr>
                <w:b/>
                <w:sz w:val="24"/>
                <w:szCs w:val="24"/>
              </w:rPr>
            </w:pPr>
            <w:r w:rsidRPr="00EB1552">
              <w:rPr>
                <w:b/>
                <w:sz w:val="24"/>
                <w:szCs w:val="24"/>
              </w:rPr>
              <w:t>595 204.8</w:t>
            </w:r>
          </w:p>
        </w:tc>
        <w:tc>
          <w:tcPr>
            <w:tcW w:w="814" w:type="pct"/>
            <w:vAlign w:val="bottom"/>
          </w:tcPr>
          <w:p w:rsidR="005A6EF5" w:rsidRPr="00EB1552" w:rsidRDefault="005A6EF5" w:rsidP="00426D31">
            <w:pPr>
              <w:spacing w:line="240" w:lineRule="auto"/>
              <w:ind w:firstLine="0"/>
              <w:jc w:val="right"/>
              <w:rPr>
                <w:b/>
                <w:sz w:val="24"/>
                <w:szCs w:val="24"/>
              </w:rPr>
            </w:pPr>
            <w:r w:rsidRPr="00EB1552">
              <w:rPr>
                <w:b/>
                <w:sz w:val="24"/>
                <w:szCs w:val="24"/>
              </w:rPr>
              <w:t>765 479.1</w:t>
            </w:r>
          </w:p>
        </w:tc>
        <w:tc>
          <w:tcPr>
            <w:tcW w:w="813" w:type="pct"/>
            <w:shd w:val="clear" w:color="auto" w:fill="auto"/>
            <w:vAlign w:val="bottom"/>
          </w:tcPr>
          <w:p w:rsidR="005A6EF5" w:rsidRPr="00EB1552" w:rsidRDefault="005A6EF5" w:rsidP="00426D31">
            <w:pPr>
              <w:spacing w:line="240" w:lineRule="auto"/>
              <w:ind w:firstLine="0"/>
              <w:jc w:val="right"/>
              <w:rPr>
                <w:b/>
                <w:sz w:val="24"/>
                <w:szCs w:val="24"/>
              </w:rPr>
            </w:pPr>
            <w:r w:rsidRPr="00EB1552">
              <w:rPr>
                <w:b/>
                <w:sz w:val="24"/>
                <w:szCs w:val="24"/>
              </w:rPr>
              <w:t>903 891.7</w:t>
            </w:r>
          </w:p>
        </w:tc>
      </w:tr>
    </w:tbl>
    <w:p w:rsidR="005A6EF5" w:rsidRPr="00BF4D07" w:rsidRDefault="005A6EF5" w:rsidP="005A6EF5">
      <w:pPr>
        <w:pStyle w:val="21"/>
        <w:shd w:val="clear" w:color="auto" w:fill="auto"/>
        <w:tabs>
          <w:tab w:val="left" w:pos="313"/>
          <w:tab w:val="left" w:pos="993"/>
        </w:tabs>
        <w:spacing w:before="0" w:line="240" w:lineRule="auto"/>
        <w:ind w:firstLine="5529"/>
        <w:jc w:val="left"/>
        <w:rPr>
          <w:sz w:val="28"/>
          <w:szCs w:val="28"/>
          <w:highlight w:val="yellow"/>
        </w:rPr>
      </w:pPr>
    </w:p>
    <w:p w:rsidR="005A6EF5" w:rsidRPr="00A2055D" w:rsidRDefault="005A6EF5" w:rsidP="005A6EF5">
      <w:pPr>
        <w:pStyle w:val="21"/>
        <w:shd w:val="clear" w:color="auto" w:fill="auto"/>
        <w:tabs>
          <w:tab w:val="left" w:pos="313"/>
          <w:tab w:val="left" w:pos="993"/>
        </w:tabs>
        <w:spacing w:before="0" w:line="240" w:lineRule="auto"/>
        <w:ind w:firstLine="4962"/>
        <w:jc w:val="right"/>
        <w:rPr>
          <w:sz w:val="28"/>
          <w:szCs w:val="28"/>
        </w:rPr>
      </w:pPr>
      <w:r>
        <w:rPr>
          <w:sz w:val="28"/>
          <w:szCs w:val="28"/>
        </w:rPr>
        <w:br w:type="page"/>
      </w:r>
      <w:r w:rsidR="00F320A0">
        <w:rPr>
          <w:sz w:val="28"/>
          <w:szCs w:val="28"/>
        </w:rPr>
        <w:lastRenderedPageBreak/>
        <w:t xml:space="preserve">appendix </w:t>
      </w:r>
      <w:r w:rsidRPr="00A2055D">
        <w:rPr>
          <w:sz w:val="28"/>
          <w:szCs w:val="28"/>
        </w:rPr>
        <w:t>2</w:t>
      </w:r>
    </w:p>
    <w:p w:rsidR="005A6EF5" w:rsidRPr="00A2055D" w:rsidRDefault="00F320A0" w:rsidP="005A6EF5">
      <w:pPr>
        <w:pStyle w:val="21"/>
        <w:shd w:val="clear" w:color="auto" w:fill="auto"/>
        <w:tabs>
          <w:tab w:val="left" w:pos="313"/>
          <w:tab w:val="left" w:pos="993"/>
        </w:tabs>
        <w:spacing w:before="0" w:line="240" w:lineRule="auto"/>
        <w:ind w:firstLine="4962"/>
        <w:jc w:val="right"/>
        <w:rPr>
          <w:sz w:val="28"/>
          <w:szCs w:val="28"/>
        </w:rPr>
      </w:pPr>
      <w:r w:rsidRPr="00F320A0">
        <w:rPr>
          <w:sz w:val="28"/>
          <w:szCs w:val="28"/>
        </w:rPr>
        <w:t>to the Methodology for accounting for financial services of second-tier banks</w:t>
      </w:r>
    </w:p>
    <w:p w:rsidR="005A6EF5" w:rsidRPr="00A2055D" w:rsidRDefault="005A6EF5" w:rsidP="005A6EF5">
      <w:pPr>
        <w:spacing w:line="240" w:lineRule="auto"/>
        <w:ind w:firstLine="0"/>
        <w:jc w:val="center"/>
        <w:rPr>
          <w:sz w:val="28"/>
          <w:szCs w:val="28"/>
        </w:rPr>
      </w:pPr>
    </w:p>
    <w:p w:rsidR="005A6EF5" w:rsidRPr="00E067A0" w:rsidRDefault="005A6EF5" w:rsidP="005A6EF5">
      <w:pPr>
        <w:spacing w:line="240" w:lineRule="auto"/>
        <w:ind w:firstLine="0"/>
        <w:jc w:val="center"/>
        <w:rPr>
          <w:sz w:val="28"/>
          <w:szCs w:val="28"/>
        </w:rPr>
      </w:pPr>
    </w:p>
    <w:p w:rsidR="005A6EF5" w:rsidRDefault="005A6EF5" w:rsidP="005A6EF5">
      <w:pPr>
        <w:spacing w:line="240" w:lineRule="auto"/>
        <w:jc w:val="center"/>
        <w:rPr>
          <w:b/>
          <w:sz w:val="28"/>
          <w:szCs w:val="28"/>
        </w:rPr>
      </w:pPr>
      <w:r w:rsidRPr="004B7947">
        <w:rPr>
          <w:b/>
          <w:sz w:val="28"/>
          <w:szCs w:val="28"/>
        </w:rPr>
        <w:t>Calculation of intermediate consumption</w:t>
      </w:r>
    </w:p>
    <w:p w:rsidR="005A6EF5" w:rsidRPr="004B7947" w:rsidRDefault="005A6EF5" w:rsidP="005A6EF5">
      <w:pPr>
        <w:spacing w:line="240" w:lineRule="auto"/>
        <w:jc w:val="center"/>
        <w:rPr>
          <w:b/>
          <w:sz w:val="28"/>
          <w:szCs w:val="28"/>
        </w:rPr>
      </w:pPr>
      <w:r w:rsidRPr="004B7947">
        <w:rPr>
          <w:rStyle w:val="longtext"/>
          <w:b/>
          <w:sz w:val="28"/>
          <w:szCs w:val="28"/>
          <w:shd w:val="clear" w:color="auto" w:fill="FFFFFF"/>
        </w:rPr>
        <w:t>services of financial activities of second-tier banks</w:t>
      </w:r>
    </w:p>
    <w:p w:rsidR="005A6EF5" w:rsidRDefault="005A6EF5" w:rsidP="005A6EF5">
      <w:pPr>
        <w:spacing w:line="240" w:lineRule="auto"/>
        <w:jc w:val="right"/>
        <w:rPr>
          <w:bCs/>
          <w:sz w:val="22"/>
          <w:szCs w:val="22"/>
        </w:rPr>
      </w:pPr>
    </w:p>
    <w:p w:rsidR="005A6EF5" w:rsidRPr="00EB1552" w:rsidRDefault="005A6EF5" w:rsidP="005A6EF5">
      <w:pPr>
        <w:spacing w:line="240" w:lineRule="auto"/>
        <w:jc w:val="right"/>
        <w:rPr>
          <w:sz w:val="24"/>
          <w:szCs w:val="24"/>
        </w:rPr>
      </w:pPr>
      <w:r w:rsidRPr="00EB1552">
        <w:rPr>
          <w:bCs/>
          <w:sz w:val="24"/>
          <w:szCs w:val="24"/>
        </w:rPr>
        <w:t>million tenge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4213"/>
        <w:gridCol w:w="1484"/>
        <w:gridCol w:w="1484"/>
        <w:gridCol w:w="1484"/>
      </w:tblGrid>
      <w:tr w:rsidR="005A6EF5" w:rsidRPr="00EB1552" w:rsidTr="00426D31">
        <w:trPr>
          <w:trHeight w:val="317"/>
          <w:tblHeader/>
        </w:trPr>
        <w:tc>
          <w:tcPr>
            <w:tcW w:w="499" w:type="pct"/>
            <w:shd w:val="clear" w:color="auto" w:fill="auto"/>
            <w:vAlign w:val="center"/>
          </w:tcPr>
          <w:p w:rsidR="005A6EF5" w:rsidRPr="00EB1552" w:rsidRDefault="005A6EF5" w:rsidP="00426D31">
            <w:pPr>
              <w:spacing w:line="240" w:lineRule="auto"/>
              <w:ind w:firstLine="0"/>
              <w:jc w:val="center"/>
              <w:rPr>
                <w:b/>
                <w:bCs/>
                <w:sz w:val="24"/>
                <w:szCs w:val="24"/>
              </w:rPr>
            </w:pPr>
            <w:r w:rsidRPr="00EB1552">
              <w:rPr>
                <w:b/>
                <w:bCs/>
                <w:sz w:val="24"/>
                <w:szCs w:val="24"/>
              </w:rPr>
              <w:t>Account number</w:t>
            </w:r>
          </w:p>
        </w:tc>
        <w:tc>
          <w:tcPr>
            <w:tcW w:w="2188" w:type="pct"/>
            <w:shd w:val="clear" w:color="auto" w:fill="auto"/>
            <w:vAlign w:val="center"/>
          </w:tcPr>
          <w:p w:rsidR="005A6EF5" w:rsidRPr="00EB1552" w:rsidRDefault="005A6EF5" w:rsidP="00426D31">
            <w:pPr>
              <w:spacing w:line="240" w:lineRule="auto"/>
              <w:ind w:firstLine="0"/>
              <w:jc w:val="center"/>
              <w:rPr>
                <w:b/>
                <w:bCs/>
                <w:sz w:val="24"/>
                <w:szCs w:val="24"/>
              </w:rPr>
            </w:pPr>
            <w:r w:rsidRPr="00EB1552">
              <w:rPr>
                <w:b/>
                <w:bCs/>
                <w:sz w:val="24"/>
                <w:szCs w:val="24"/>
              </w:rPr>
              <w:t>"Report on income and expenses for second-tier banks of the Republic of Kazakhstan"</w:t>
            </w:r>
          </w:p>
        </w:tc>
        <w:tc>
          <w:tcPr>
            <w:tcW w:w="771" w:type="pct"/>
            <w:vAlign w:val="center"/>
          </w:tcPr>
          <w:p w:rsidR="005A6EF5" w:rsidRPr="00EB1552" w:rsidRDefault="005A6EF5" w:rsidP="00426D31">
            <w:pPr>
              <w:spacing w:line="240" w:lineRule="auto"/>
              <w:ind w:firstLine="0"/>
              <w:jc w:val="center"/>
              <w:rPr>
                <w:b/>
                <w:bCs/>
                <w:sz w:val="24"/>
                <w:szCs w:val="24"/>
              </w:rPr>
            </w:pPr>
            <w:r w:rsidRPr="00EB1552">
              <w:rPr>
                <w:b/>
                <w:bCs/>
                <w:sz w:val="24"/>
                <w:szCs w:val="24"/>
              </w:rPr>
              <w:t>2013</w:t>
            </w:r>
          </w:p>
        </w:tc>
        <w:tc>
          <w:tcPr>
            <w:tcW w:w="771" w:type="pct"/>
            <w:vAlign w:val="center"/>
          </w:tcPr>
          <w:p w:rsidR="005A6EF5" w:rsidRPr="00EB1552" w:rsidRDefault="005A6EF5" w:rsidP="00426D31">
            <w:pPr>
              <w:spacing w:line="240" w:lineRule="auto"/>
              <w:ind w:firstLine="0"/>
              <w:jc w:val="center"/>
              <w:rPr>
                <w:b/>
                <w:bCs/>
                <w:sz w:val="24"/>
                <w:szCs w:val="24"/>
              </w:rPr>
            </w:pPr>
            <w:r w:rsidRPr="00EB1552">
              <w:rPr>
                <w:b/>
                <w:bCs/>
                <w:sz w:val="24"/>
                <w:szCs w:val="24"/>
              </w:rPr>
              <w:t>2014</w:t>
            </w:r>
          </w:p>
        </w:tc>
        <w:tc>
          <w:tcPr>
            <w:tcW w:w="771" w:type="pct"/>
            <w:shd w:val="clear" w:color="auto" w:fill="auto"/>
            <w:vAlign w:val="center"/>
          </w:tcPr>
          <w:p w:rsidR="005A6EF5" w:rsidRPr="00EB1552" w:rsidRDefault="005A6EF5" w:rsidP="00426D31">
            <w:pPr>
              <w:spacing w:line="240" w:lineRule="auto"/>
              <w:ind w:firstLine="0"/>
              <w:jc w:val="center"/>
              <w:rPr>
                <w:b/>
                <w:bCs/>
                <w:sz w:val="24"/>
                <w:szCs w:val="24"/>
              </w:rPr>
            </w:pPr>
            <w:r w:rsidRPr="00EB1552">
              <w:rPr>
                <w:b/>
                <w:bCs/>
                <w:sz w:val="24"/>
                <w:szCs w:val="24"/>
              </w:rPr>
              <w:t>2015</w:t>
            </w:r>
          </w:p>
        </w:tc>
      </w:tr>
      <w:tr w:rsidR="005A6EF5" w:rsidRPr="00EB1552" w:rsidTr="00426D31">
        <w:trPr>
          <w:trHeight w:val="31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5069</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Expenses on amortization of discount on loans received</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11,567.8</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11,552.7</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4,495.7</w:t>
            </w:r>
          </w:p>
        </w:tc>
      </w:tr>
      <w:tr w:rsidR="005A6EF5" w:rsidRPr="00EB1552" w:rsidTr="00426D31">
        <w:trPr>
          <w:trHeight w:val="119"/>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5070</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Premium amortization expense on loans to other banks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0.0</w:t>
            </w:r>
          </w:p>
        </w:tc>
      </w:tr>
      <w:tr w:rsidR="005A6EF5" w:rsidRPr="00EB1552" w:rsidTr="00426D31">
        <w:trPr>
          <w:trHeight w:val="373"/>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5071</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Expenses on amortization of the premium on loans provided to organizations engaged in certain types of banking operations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0.0</w:t>
            </w:r>
          </w:p>
        </w:tc>
      </w:tr>
      <w:tr w:rsidR="005A6EF5" w:rsidRPr="00EB1552" w:rsidTr="00426D31">
        <w:trPr>
          <w:trHeight w:val="329"/>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5095</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Commission fee on loans received from other banks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324.6</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32.0</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19.9</w:t>
            </w:r>
          </w:p>
        </w:tc>
      </w:tr>
      <w:tr w:rsidR="005A6EF5" w:rsidRPr="00EB1552" w:rsidTr="00426D31">
        <w:trPr>
          <w:trHeight w:val="159"/>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5510</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Expenses for the purchase and sale of securities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687.7</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1550.3</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1,098.8</w:t>
            </w:r>
          </w:p>
        </w:tc>
      </w:tr>
      <w:tr w:rsidR="005A6EF5" w:rsidRPr="00EB1552" w:rsidTr="00426D31">
        <w:trPr>
          <w:trHeight w:val="159"/>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5530</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Expenses for the purchase and sale of foreign currency</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68,500.5</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80,448.1</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299 112.7</w:t>
            </w:r>
          </w:p>
        </w:tc>
      </w:tr>
      <w:tr w:rsidR="005A6EF5" w:rsidRPr="00EB1552" w:rsidTr="00426D31">
        <w:trPr>
          <w:trHeight w:val="159"/>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5540</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Expenses for the purchase and sale of precious metals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1001.7</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141.4</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76.4</w:t>
            </w:r>
          </w:p>
        </w:tc>
      </w:tr>
      <w:tr w:rsidR="005A6EF5" w:rsidRPr="00EB1552" w:rsidTr="00426D31">
        <w:trPr>
          <w:trHeight w:val="159"/>
        </w:trPr>
        <w:tc>
          <w:tcPr>
            <w:tcW w:w="499" w:type="pct"/>
            <w:shd w:val="clear" w:color="auto" w:fill="auto"/>
            <w:vAlign w:val="center"/>
          </w:tcPr>
          <w:p w:rsidR="005A6EF5" w:rsidRPr="00EB1552" w:rsidRDefault="005A6EF5" w:rsidP="00426D31">
            <w:pPr>
              <w:spacing w:line="240" w:lineRule="auto"/>
              <w:ind w:firstLine="0"/>
              <w:jc w:val="center"/>
              <w:rPr>
                <w:b/>
                <w:sz w:val="24"/>
                <w:szCs w:val="24"/>
              </w:rPr>
            </w:pPr>
            <w:r w:rsidRPr="00EB1552">
              <w:rPr>
                <w:b/>
                <w:sz w:val="24"/>
                <w:szCs w:val="24"/>
              </w:rPr>
              <w:t>5600</w:t>
            </w:r>
          </w:p>
        </w:tc>
        <w:tc>
          <w:tcPr>
            <w:tcW w:w="2188" w:type="pct"/>
            <w:shd w:val="clear" w:color="auto" w:fill="auto"/>
            <w:vAlign w:val="bottom"/>
          </w:tcPr>
          <w:p w:rsidR="005A6EF5" w:rsidRPr="00EB1552" w:rsidRDefault="005A6EF5" w:rsidP="00426D31">
            <w:pPr>
              <w:spacing w:line="240" w:lineRule="auto"/>
              <w:ind w:firstLine="0"/>
              <w:jc w:val="left"/>
              <w:rPr>
                <w:b/>
                <w:sz w:val="24"/>
                <w:szCs w:val="24"/>
              </w:rPr>
            </w:pPr>
            <w:r w:rsidRPr="00EB1552">
              <w:rPr>
                <w:b/>
                <w:sz w:val="24"/>
                <w:szCs w:val="24"/>
              </w:rPr>
              <w:t>Commission expenses</w:t>
            </w:r>
          </w:p>
        </w:tc>
        <w:tc>
          <w:tcPr>
            <w:tcW w:w="771" w:type="pct"/>
            <w:vAlign w:val="bottom"/>
          </w:tcPr>
          <w:p w:rsidR="005A6EF5" w:rsidRPr="00EB1552" w:rsidRDefault="005A6EF5" w:rsidP="00426D31">
            <w:pPr>
              <w:spacing w:line="240" w:lineRule="auto"/>
              <w:ind w:firstLine="0"/>
              <w:jc w:val="right"/>
              <w:rPr>
                <w:b/>
                <w:sz w:val="24"/>
                <w:szCs w:val="24"/>
              </w:rPr>
            </w:pPr>
            <w:r w:rsidRPr="00EB1552">
              <w:rPr>
                <w:b/>
                <w:sz w:val="24"/>
                <w:szCs w:val="24"/>
              </w:rPr>
              <w:t>30,261.5</w:t>
            </w:r>
          </w:p>
        </w:tc>
        <w:tc>
          <w:tcPr>
            <w:tcW w:w="771" w:type="pct"/>
            <w:vAlign w:val="bottom"/>
          </w:tcPr>
          <w:p w:rsidR="005A6EF5" w:rsidRPr="00EB1552" w:rsidRDefault="005A6EF5" w:rsidP="00426D31">
            <w:pPr>
              <w:spacing w:line="240" w:lineRule="auto"/>
              <w:ind w:firstLine="0"/>
              <w:jc w:val="right"/>
              <w:rPr>
                <w:b/>
                <w:sz w:val="24"/>
                <w:szCs w:val="24"/>
              </w:rPr>
            </w:pPr>
            <w:r w:rsidRPr="00EB1552">
              <w:rPr>
                <w:b/>
                <w:sz w:val="24"/>
                <w:szCs w:val="24"/>
              </w:rPr>
              <w:t>35,252.8</w:t>
            </w:r>
          </w:p>
        </w:tc>
        <w:tc>
          <w:tcPr>
            <w:tcW w:w="771" w:type="pct"/>
            <w:shd w:val="clear" w:color="auto" w:fill="auto"/>
            <w:vAlign w:val="bottom"/>
          </w:tcPr>
          <w:p w:rsidR="005A6EF5" w:rsidRPr="00EB1552" w:rsidRDefault="005A6EF5" w:rsidP="00426D31">
            <w:pPr>
              <w:spacing w:line="240" w:lineRule="auto"/>
              <w:ind w:firstLine="0"/>
              <w:jc w:val="right"/>
              <w:rPr>
                <w:b/>
                <w:sz w:val="24"/>
                <w:szCs w:val="24"/>
              </w:rPr>
            </w:pPr>
            <w:r w:rsidRPr="00EB1552">
              <w:rPr>
                <w:b/>
                <w:sz w:val="24"/>
                <w:szCs w:val="24"/>
              </w:rPr>
              <w:t>41,576.9</w:t>
            </w:r>
          </w:p>
        </w:tc>
      </w:tr>
      <w:tr w:rsidR="005A6EF5" w:rsidRPr="00EB1552" w:rsidTr="00426D31">
        <w:trPr>
          <w:trHeight w:val="31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5601</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Commission expenses on services received in transfer transactions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2639.2</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3,066.7</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3,956.5</w:t>
            </w:r>
          </w:p>
        </w:tc>
      </w:tr>
      <w:tr w:rsidR="005A6EF5" w:rsidRPr="00EB1552" w:rsidTr="00426D31">
        <w:trPr>
          <w:trHeight w:val="159"/>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5602</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Commission expenses for received agency services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5,539.0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7985.9</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14,259.1</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5603</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Commission expenses on services received for the purchase and sale of securities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452.0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356.5</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727.0</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5604</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Commission expenses on services received for the purchase and sale of foreign currency</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436.5</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1,105.1</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1,097.3</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5605</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Commission expenses on services received on fiduciary transactions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252.4</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287.2</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219.1</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5606</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Commission expenses for services received under guarantees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5,847.0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3,511.9</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1383.9</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5607</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Commission expenses for services received on card accounts of clients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7311.8</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8461.6</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9,856.2</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5608</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Other commission expenses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6963.5</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9511.0</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9 113.1</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lastRenderedPageBreak/>
              <w:t>5609</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Commission expenses for professional activities in the securities market</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820.1</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966.9</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964.7</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b/>
                <w:sz w:val="24"/>
                <w:szCs w:val="24"/>
              </w:rPr>
            </w:pPr>
            <w:r w:rsidRPr="00EB1552">
              <w:rPr>
                <w:b/>
                <w:sz w:val="24"/>
                <w:szCs w:val="24"/>
              </w:rPr>
              <w:t>5740</w:t>
            </w:r>
          </w:p>
        </w:tc>
        <w:tc>
          <w:tcPr>
            <w:tcW w:w="2188" w:type="pct"/>
            <w:shd w:val="clear" w:color="auto" w:fill="auto"/>
            <w:vAlign w:val="bottom"/>
          </w:tcPr>
          <w:p w:rsidR="005A6EF5" w:rsidRPr="00EB1552" w:rsidRDefault="005A6EF5" w:rsidP="00426D31">
            <w:pPr>
              <w:spacing w:line="240" w:lineRule="auto"/>
              <w:ind w:firstLine="0"/>
              <w:jc w:val="left"/>
              <w:rPr>
                <w:b/>
                <w:sz w:val="24"/>
                <w:szCs w:val="24"/>
              </w:rPr>
            </w:pPr>
            <w:r w:rsidRPr="00EB1552">
              <w:rPr>
                <w:b/>
                <w:sz w:val="24"/>
                <w:szCs w:val="24"/>
              </w:rPr>
              <w:t>General running costs</w:t>
            </w:r>
          </w:p>
        </w:tc>
        <w:tc>
          <w:tcPr>
            <w:tcW w:w="771" w:type="pct"/>
            <w:vAlign w:val="bottom"/>
          </w:tcPr>
          <w:p w:rsidR="005A6EF5" w:rsidRPr="00EB1552" w:rsidRDefault="005A6EF5" w:rsidP="00426D31">
            <w:pPr>
              <w:spacing w:line="240" w:lineRule="auto"/>
              <w:ind w:firstLine="0"/>
              <w:jc w:val="right"/>
              <w:rPr>
                <w:b/>
                <w:sz w:val="24"/>
                <w:szCs w:val="24"/>
              </w:rPr>
            </w:pPr>
            <w:r w:rsidRPr="00EB1552">
              <w:rPr>
                <w:b/>
                <w:sz w:val="24"/>
                <w:szCs w:val="24"/>
              </w:rPr>
              <w:t>120 175.9</w:t>
            </w:r>
          </w:p>
        </w:tc>
        <w:tc>
          <w:tcPr>
            <w:tcW w:w="771" w:type="pct"/>
            <w:vAlign w:val="bottom"/>
          </w:tcPr>
          <w:p w:rsidR="005A6EF5" w:rsidRPr="00EB1552" w:rsidRDefault="005A6EF5" w:rsidP="00426D31">
            <w:pPr>
              <w:spacing w:line="240" w:lineRule="auto"/>
              <w:ind w:firstLine="0"/>
              <w:jc w:val="right"/>
              <w:rPr>
                <w:b/>
                <w:sz w:val="24"/>
                <w:szCs w:val="24"/>
              </w:rPr>
            </w:pPr>
            <w:r w:rsidRPr="00EB1552">
              <w:rPr>
                <w:b/>
                <w:sz w:val="24"/>
                <w:szCs w:val="24"/>
              </w:rPr>
              <w:t>145 908.5</w:t>
            </w:r>
          </w:p>
        </w:tc>
        <w:tc>
          <w:tcPr>
            <w:tcW w:w="771" w:type="pct"/>
            <w:shd w:val="clear" w:color="auto" w:fill="auto"/>
            <w:vAlign w:val="bottom"/>
          </w:tcPr>
          <w:p w:rsidR="005A6EF5" w:rsidRPr="00EB1552" w:rsidRDefault="005A6EF5" w:rsidP="00426D31">
            <w:pPr>
              <w:spacing w:line="240" w:lineRule="auto"/>
              <w:ind w:firstLine="0"/>
              <w:jc w:val="right"/>
              <w:rPr>
                <w:b/>
                <w:sz w:val="24"/>
                <w:szCs w:val="24"/>
              </w:rPr>
            </w:pPr>
            <w:r w:rsidRPr="00EB1552">
              <w:rPr>
                <w:b/>
                <w:sz w:val="24"/>
                <w:szCs w:val="24"/>
              </w:rPr>
              <w:t>126,845.8</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5741</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Fare</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2279.0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2481.3</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3,568.7</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5742</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Administrative expenses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25404.2</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29,007.6</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29,707.2</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5743</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Collection costs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6,327.5</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7,598.0</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7267.0</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5744</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Repair costs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4,868.9</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5252.4</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4,770.3</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5745</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Advertising expenses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11,301.6</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11,892.5</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11,634.3</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5746</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Security and alarm costs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9,242.5</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10484.5</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11,016.2</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5747</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Representation expenses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391.1</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523.9</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392.7</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5748</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Other general expenses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4,024.9</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6,514.7</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6968.8</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5749</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Business travel expenses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3,789.4</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4,740.1</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3,744.4</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5750</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Audit and consulting expenses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16,209.9</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24,937.8</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6,135.1</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5752</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insurance costs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2385.3</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2,739.9</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4,524.9</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5753</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Communication service expenses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8,515.5</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9,533.7</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9456.0</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5754</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Expenses in the form of contributions to the joint-stock company "Kazakhstan Deposit Guarantee Fund"</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25,436.1</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30,202.1</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27,660.2</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b/>
                <w:sz w:val="24"/>
                <w:szCs w:val="24"/>
              </w:rPr>
            </w:pPr>
            <w:r w:rsidRPr="00EB1552">
              <w:rPr>
                <w:b/>
                <w:sz w:val="24"/>
                <w:szCs w:val="24"/>
              </w:rPr>
              <w:t>5850</w:t>
            </w:r>
          </w:p>
        </w:tc>
        <w:tc>
          <w:tcPr>
            <w:tcW w:w="2188" w:type="pct"/>
            <w:shd w:val="clear" w:color="auto" w:fill="auto"/>
            <w:vAlign w:val="bottom"/>
          </w:tcPr>
          <w:p w:rsidR="005A6EF5" w:rsidRPr="00EB1552" w:rsidRDefault="005A6EF5" w:rsidP="00426D31">
            <w:pPr>
              <w:spacing w:line="240" w:lineRule="auto"/>
              <w:ind w:firstLine="0"/>
              <w:jc w:val="left"/>
              <w:rPr>
                <w:b/>
                <w:sz w:val="24"/>
                <w:szCs w:val="24"/>
              </w:rPr>
            </w:pPr>
            <w:r w:rsidRPr="00EB1552">
              <w:rPr>
                <w:b/>
                <w:sz w:val="24"/>
                <w:szCs w:val="24"/>
              </w:rPr>
              <w:t>Selling expenses</w:t>
            </w:r>
          </w:p>
        </w:tc>
        <w:tc>
          <w:tcPr>
            <w:tcW w:w="771" w:type="pct"/>
            <w:vAlign w:val="bottom"/>
          </w:tcPr>
          <w:p w:rsidR="005A6EF5" w:rsidRPr="00EB1552" w:rsidRDefault="005A6EF5" w:rsidP="00426D31">
            <w:pPr>
              <w:spacing w:line="240" w:lineRule="auto"/>
              <w:ind w:firstLine="0"/>
              <w:jc w:val="right"/>
              <w:rPr>
                <w:b/>
                <w:sz w:val="24"/>
                <w:szCs w:val="24"/>
              </w:rPr>
            </w:pPr>
            <w:r w:rsidRPr="00EB1552">
              <w:rPr>
                <w:b/>
                <w:sz w:val="24"/>
                <w:szCs w:val="24"/>
              </w:rPr>
              <w:t>7,598.1</w:t>
            </w:r>
          </w:p>
        </w:tc>
        <w:tc>
          <w:tcPr>
            <w:tcW w:w="771" w:type="pct"/>
            <w:vAlign w:val="bottom"/>
          </w:tcPr>
          <w:p w:rsidR="005A6EF5" w:rsidRPr="00EB1552" w:rsidRDefault="005A6EF5" w:rsidP="00426D31">
            <w:pPr>
              <w:spacing w:line="240" w:lineRule="auto"/>
              <w:ind w:firstLine="0"/>
              <w:jc w:val="right"/>
              <w:rPr>
                <w:b/>
                <w:sz w:val="24"/>
                <w:szCs w:val="24"/>
              </w:rPr>
            </w:pPr>
            <w:r w:rsidRPr="00EB1552">
              <w:rPr>
                <w:b/>
                <w:sz w:val="24"/>
                <w:szCs w:val="24"/>
              </w:rPr>
              <w:t>14,752.3</w:t>
            </w:r>
          </w:p>
        </w:tc>
        <w:tc>
          <w:tcPr>
            <w:tcW w:w="771" w:type="pct"/>
            <w:vAlign w:val="bottom"/>
          </w:tcPr>
          <w:p w:rsidR="005A6EF5" w:rsidRPr="00EB1552" w:rsidRDefault="005A6EF5" w:rsidP="00426D31">
            <w:pPr>
              <w:spacing w:line="240" w:lineRule="auto"/>
              <w:ind w:firstLine="0"/>
              <w:jc w:val="right"/>
              <w:rPr>
                <w:b/>
                <w:sz w:val="24"/>
                <w:szCs w:val="24"/>
              </w:rPr>
            </w:pPr>
            <w:r w:rsidRPr="00EB1552">
              <w:rPr>
                <w:b/>
                <w:sz w:val="24"/>
                <w:szCs w:val="24"/>
              </w:rPr>
              <w:t>6,384.9</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5851</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Expenses from the sale of shares of subsidiaries and affiliates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287.7</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3,234.5</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5852</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Expenses from the sale of fixed assets and intangible assets</w:t>
            </w:r>
            <w:bookmarkStart w:id="0" w:name="_GoBack"/>
            <w:bookmarkEnd w:id="0"/>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7212.4</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1,740.7</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2217.2</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5853</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Expenses from the gratuitous transfer of fixed assets and intangible assets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13.7</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5854</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Expenses from the sale of inventory</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98.0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13,010.6</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919.5</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sz w:val="24"/>
                <w:szCs w:val="24"/>
              </w:rPr>
            </w:pPr>
            <w:r w:rsidRPr="00EB1552">
              <w:rPr>
                <w:sz w:val="24"/>
                <w:szCs w:val="24"/>
              </w:rPr>
              <w:t>5856</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Expenses from the sale of other investments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0.0</w:t>
            </w:r>
          </w:p>
        </w:tc>
      </w:tr>
      <w:tr w:rsidR="005A6EF5" w:rsidRPr="00EB1552" w:rsidTr="00426D31">
        <w:trPr>
          <w:trHeight w:val="167"/>
        </w:trPr>
        <w:tc>
          <w:tcPr>
            <w:tcW w:w="499" w:type="pct"/>
            <w:shd w:val="clear" w:color="auto" w:fill="auto"/>
            <w:vAlign w:val="center"/>
          </w:tcPr>
          <w:p w:rsidR="005A6EF5" w:rsidRPr="00EB1552" w:rsidRDefault="005A6EF5" w:rsidP="00426D31">
            <w:pPr>
              <w:spacing w:line="240" w:lineRule="auto"/>
              <w:ind w:firstLine="0"/>
              <w:jc w:val="center"/>
              <w:rPr>
                <w:b/>
                <w:sz w:val="24"/>
                <w:szCs w:val="24"/>
              </w:rPr>
            </w:pPr>
            <w:r w:rsidRPr="00EB1552">
              <w:rPr>
                <w:b/>
                <w:sz w:val="24"/>
                <w:szCs w:val="24"/>
              </w:rPr>
              <w:t>5920</w:t>
            </w:r>
          </w:p>
        </w:tc>
        <w:tc>
          <w:tcPr>
            <w:tcW w:w="2188" w:type="pct"/>
            <w:shd w:val="clear" w:color="auto" w:fill="auto"/>
            <w:vAlign w:val="bottom"/>
          </w:tcPr>
          <w:p w:rsidR="005A6EF5" w:rsidRPr="00EB1552" w:rsidRDefault="002D7B83" w:rsidP="00426D31">
            <w:pPr>
              <w:spacing w:line="240" w:lineRule="auto"/>
              <w:ind w:firstLine="0"/>
              <w:jc w:val="left"/>
              <w:rPr>
                <w:b/>
                <w:sz w:val="24"/>
                <w:szCs w:val="24"/>
              </w:rPr>
            </w:pPr>
            <w:r>
              <w:rPr>
                <w:b/>
                <w:sz w:val="24"/>
                <w:szCs w:val="24"/>
              </w:rPr>
              <w:t>O</w:t>
            </w:r>
            <w:r w:rsidR="005A6EF5" w:rsidRPr="00EB1552">
              <w:rPr>
                <w:b/>
                <w:sz w:val="24"/>
                <w:szCs w:val="24"/>
              </w:rPr>
              <w:t>ther expenses</w:t>
            </w:r>
          </w:p>
        </w:tc>
        <w:tc>
          <w:tcPr>
            <w:tcW w:w="771" w:type="pct"/>
            <w:vAlign w:val="bottom"/>
          </w:tcPr>
          <w:p w:rsidR="005A6EF5" w:rsidRPr="00EB1552" w:rsidRDefault="005A6EF5" w:rsidP="00426D31">
            <w:pPr>
              <w:spacing w:line="240" w:lineRule="auto"/>
              <w:ind w:firstLine="0"/>
              <w:jc w:val="right"/>
              <w:rPr>
                <w:b/>
                <w:sz w:val="24"/>
                <w:szCs w:val="24"/>
              </w:rPr>
            </w:pPr>
            <w:r w:rsidRPr="00EB1552">
              <w:rPr>
                <w:b/>
                <w:sz w:val="24"/>
                <w:szCs w:val="24"/>
              </w:rPr>
              <w:t>55,441.9</w:t>
            </w:r>
          </w:p>
        </w:tc>
        <w:tc>
          <w:tcPr>
            <w:tcW w:w="771" w:type="pct"/>
            <w:vAlign w:val="bottom"/>
          </w:tcPr>
          <w:p w:rsidR="005A6EF5" w:rsidRPr="00EB1552" w:rsidRDefault="005A6EF5" w:rsidP="00426D31">
            <w:pPr>
              <w:spacing w:line="240" w:lineRule="auto"/>
              <w:ind w:firstLine="0"/>
              <w:jc w:val="right"/>
              <w:rPr>
                <w:b/>
                <w:sz w:val="24"/>
                <w:szCs w:val="24"/>
              </w:rPr>
            </w:pPr>
            <w:r w:rsidRPr="00EB1552">
              <w:rPr>
                <w:b/>
                <w:sz w:val="24"/>
                <w:szCs w:val="24"/>
              </w:rPr>
              <w:t>70,702.9</w:t>
            </w:r>
          </w:p>
        </w:tc>
        <w:tc>
          <w:tcPr>
            <w:tcW w:w="771" w:type="pct"/>
            <w:shd w:val="clear" w:color="auto" w:fill="auto"/>
            <w:vAlign w:val="bottom"/>
          </w:tcPr>
          <w:p w:rsidR="005A6EF5" w:rsidRPr="00EB1552" w:rsidRDefault="005A6EF5" w:rsidP="00426D31">
            <w:pPr>
              <w:spacing w:line="240" w:lineRule="auto"/>
              <w:ind w:firstLine="0"/>
              <w:jc w:val="right"/>
              <w:rPr>
                <w:b/>
                <w:sz w:val="24"/>
                <w:szCs w:val="24"/>
              </w:rPr>
            </w:pPr>
            <w:r w:rsidRPr="00EB1552">
              <w:rPr>
                <w:b/>
                <w:sz w:val="24"/>
                <w:szCs w:val="24"/>
              </w:rPr>
              <w:t>123 236.6</w:t>
            </w:r>
          </w:p>
        </w:tc>
      </w:tr>
      <w:tr w:rsidR="005A6EF5" w:rsidRPr="00EB1552" w:rsidTr="00426D31">
        <w:trPr>
          <w:trHeight w:val="167"/>
        </w:trPr>
        <w:tc>
          <w:tcPr>
            <w:tcW w:w="499" w:type="pct"/>
            <w:shd w:val="clear" w:color="auto" w:fill="auto"/>
            <w:vAlign w:val="bottom"/>
          </w:tcPr>
          <w:p w:rsidR="005A6EF5" w:rsidRPr="00EB1552" w:rsidRDefault="005A6EF5" w:rsidP="00426D31">
            <w:pPr>
              <w:spacing w:line="240" w:lineRule="auto"/>
              <w:ind w:firstLine="0"/>
              <w:jc w:val="center"/>
              <w:rPr>
                <w:sz w:val="24"/>
                <w:szCs w:val="24"/>
              </w:rPr>
            </w:pPr>
            <w:r w:rsidRPr="00EB1552">
              <w:rPr>
                <w:sz w:val="24"/>
                <w:szCs w:val="24"/>
              </w:rPr>
              <w:t>5921</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Other expenses from banking activities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20,204.8</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27,064.0</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86,165.1</w:t>
            </w:r>
          </w:p>
        </w:tc>
      </w:tr>
      <w:tr w:rsidR="005A6EF5" w:rsidRPr="00EB1552" w:rsidTr="00426D31">
        <w:trPr>
          <w:trHeight w:val="167"/>
        </w:trPr>
        <w:tc>
          <w:tcPr>
            <w:tcW w:w="499" w:type="pct"/>
            <w:shd w:val="clear" w:color="auto" w:fill="auto"/>
            <w:vAlign w:val="bottom"/>
          </w:tcPr>
          <w:p w:rsidR="005A6EF5" w:rsidRPr="00EB1552" w:rsidRDefault="005A6EF5" w:rsidP="00426D31">
            <w:pPr>
              <w:spacing w:line="240" w:lineRule="auto"/>
              <w:ind w:firstLine="0"/>
              <w:jc w:val="center"/>
              <w:rPr>
                <w:sz w:val="24"/>
                <w:szCs w:val="24"/>
              </w:rPr>
            </w:pPr>
            <w:r w:rsidRPr="00EB1552">
              <w:rPr>
                <w:sz w:val="24"/>
                <w:szCs w:val="24"/>
              </w:rPr>
              <w:t>5922</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Other expenses from non-core activities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8483.2</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14,947.0</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8,085.9</w:t>
            </w:r>
          </w:p>
        </w:tc>
      </w:tr>
      <w:tr w:rsidR="005A6EF5" w:rsidRPr="00EB1552" w:rsidTr="00426D31">
        <w:trPr>
          <w:trHeight w:val="167"/>
        </w:trPr>
        <w:tc>
          <w:tcPr>
            <w:tcW w:w="499" w:type="pct"/>
            <w:shd w:val="clear" w:color="auto" w:fill="auto"/>
            <w:vAlign w:val="bottom"/>
          </w:tcPr>
          <w:p w:rsidR="005A6EF5" w:rsidRPr="00EB1552" w:rsidRDefault="005A6EF5" w:rsidP="00426D31">
            <w:pPr>
              <w:spacing w:line="240" w:lineRule="auto"/>
              <w:ind w:firstLine="0"/>
              <w:jc w:val="center"/>
              <w:rPr>
                <w:sz w:val="24"/>
                <w:szCs w:val="24"/>
              </w:rPr>
            </w:pPr>
            <w:r w:rsidRPr="00EB1552">
              <w:rPr>
                <w:sz w:val="24"/>
                <w:szCs w:val="24"/>
              </w:rPr>
              <w:t>5923</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Rental expenses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24,887.0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26,816.7</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27,296.6</w:t>
            </w:r>
          </w:p>
        </w:tc>
      </w:tr>
      <w:tr w:rsidR="005A6EF5" w:rsidRPr="00EB1552" w:rsidTr="00426D31">
        <w:trPr>
          <w:trHeight w:val="167"/>
        </w:trPr>
        <w:tc>
          <w:tcPr>
            <w:tcW w:w="499" w:type="pct"/>
            <w:shd w:val="clear" w:color="auto" w:fill="auto"/>
            <w:vAlign w:val="bottom"/>
          </w:tcPr>
          <w:p w:rsidR="005A6EF5" w:rsidRPr="00EB1552" w:rsidRDefault="005A6EF5" w:rsidP="00426D31">
            <w:pPr>
              <w:spacing w:line="240" w:lineRule="auto"/>
              <w:ind w:firstLine="0"/>
              <w:jc w:val="center"/>
              <w:rPr>
                <w:sz w:val="24"/>
                <w:szCs w:val="24"/>
              </w:rPr>
            </w:pPr>
            <w:r w:rsidRPr="00EB1552">
              <w:rPr>
                <w:sz w:val="24"/>
                <w:szCs w:val="24"/>
              </w:rPr>
              <w:t>5924</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Acceptance costs</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0.0</w:t>
            </w:r>
          </w:p>
        </w:tc>
      </w:tr>
      <w:tr w:rsidR="005A6EF5" w:rsidRPr="00EB1552" w:rsidTr="00426D31">
        <w:trPr>
          <w:trHeight w:val="167"/>
        </w:trPr>
        <w:tc>
          <w:tcPr>
            <w:tcW w:w="499" w:type="pct"/>
            <w:shd w:val="clear" w:color="auto" w:fill="auto"/>
            <w:vAlign w:val="bottom"/>
          </w:tcPr>
          <w:p w:rsidR="005A6EF5" w:rsidRPr="00EB1552" w:rsidRDefault="005A6EF5" w:rsidP="00426D31">
            <w:pPr>
              <w:spacing w:line="240" w:lineRule="auto"/>
              <w:ind w:firstLine="0"/>
              <w:jc w:val="center"/>
              <w:rPr>
                <w:sz w:val="24"/>
                <w:szCs w:val="24"/>
              </w:rPr>
            </w:pPr>
            <w:r w:rsidRPr="00EB1552">
              <w:rPr>
                <w:sz w:val="24"/>
                <w:szCs w:val="24"/>
              </w:rPr>
              <w:t>5925</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Expenses on guarantees received by the bank</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0.0</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62.4</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93.7</w:t>
            </w:r>
          </w:p>
        </w:tc>
      </w:tr>
      <w:tr w:rsidR="005A6EF5" w:rsidRPr="00EB1552" w:rsidTr="00426D31">
        <w:trPr>
          <w:trHeight w:val="167"/>
        </w:trPr>
        <w:tc>
          <w:tcPr>
            <w:tcW w:w="499" w:type="pct"/>
            <w:shd w:val="clear" w:color="auto" w:fill="auto"/>
            <w:vAlign w:val="bottom"/>
          </w:tcPr>
          <w:p w:rsidR="005A6EF5" w:rsidRPr="00EB1552" w:rsidRDefault="005A6EF5" w:rsidP="00426D31">
            <w:pPr>
              <w:spacing w:line="240" w:lineRule="auto"/>
              <w:ind w:firstLine="0"/>
              <w:jc w:val="center"/>
              <w:rPr>
                <w:sz w:val="24"/>
                <w:szCs w:val="24"/>
              </w:rPr>
            </w:pPr>
            <w:r w:rsidRPr="00EB1552">
              <w:rPr>
                <w:sz w:val="24"/>
                <w:szCs w:val="24"/>
              </w:rPr>
              <w:t>5926</w:t>
            </w:r>
          </w:p>
        </w:tc>
        <w:tc>
          <w:tcPr>
            <w:tcW w:w="2188"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Preferred share expense</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1,866.8</w:t>
            </w:r>
          </w:p>
        </w:tc>
        <w:tc>
          <w:tcPr>
            <w:tcW w:w="771" w:type="pct"/>
            <w:vAlign w:val="bottom"/>
          </w:tcPr>
          <w:p w:rsidR="005A6EF5" w:rsidRPr="00EB1552" w:rsidRDefault="005A6EF5" w:rsidP="00426D31">
            <w:pPr>
              <w:spacing w:line="240" w:lineRule="auto"/>
              <w:ind w:firstLine="0"/>
              <w:jc w:val="right"/>
              <w:rPr>
                <w:sz w:val="24"/>
                <w:szCs w:val="24"/>
              </w:rPr>
            </w:pPr>
            <w:r w:rsidRPr="00EB1552">
              <w:rPr>
                <w:sz w:val="24"/>
                <w:szCs w:val="24"/>
              </w:rPr>
              <w:t>1,812.8</w:t>
            </w:r>
          </w:p>
        </w:tc>
        <w:tc>
          <w:tcPr>
            <w:tcW w:w="771"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1595.2</w:t>
            </w:r>
          </w:p>
        </w:tc>
      </w:tr>
      <w:tr w:rsidR="005A6EF5" w:rsidRPr="00EB1552" w:rsidTr="00426D31">
        <w:trPr>
          <w:trHeight w:val="183"/>
        </w:trPr>
        <w:tc>
          <w:tcPr>
            <w:tcW w:w="499" w:type="pct"/>
            <w:shd w:val="clear" w:color="auto" w:fill="auto"/>
            <w:vAlign w:val="bottom"/>
          </w:tcPr>
          <w:p w:rsidR="005A6EF5" w:rsidRPr="00EB1552" w:rsidRDefault="005A6EF5" w:rsidP="00426D31">
            <w:pPr>
              <w:spacing w:line="240" w:lineRule="auto"/>
              <w:ind w:firstLine="0"/>
              <w:rPr>
                <w:b/>
                <w:sz w:val="24"/>
                <w:szCs w:val="24"/>
                <w:highlight w:val="yellow"/>
              </w:rPr>
            </w:pPr>
          </w:p>
        </w:tc>
        <w:tc>
          <w:tcPr>
            <w:tcW w:w="2188" w:type="pct"/>
            <w:shd w:val="clear" w:color="auto" w:fill="auto"/>
            <w:vAlign w:val="bottom"/>
          </w:tcPr>
          <w:p w:rsidR="005A6EF5" w:rsidRPr="00EB1552" w:rsidRDefault="005A6EF5" w:rsidP="00426D31">
            <w:pPr>
              <w:spacing w:line="240" w:lineRule="auto"/>
              <w:ind w:firstLine="0"/>
              <w:jc w:val="left"/>
              <w:rPr>
                <w:b/>
                <w:sz w:val="24"/>
                <w:szCs w:val="24"/>
                <w:highlight w:val="yellow"/>
              </w:rPr>
            </w:pPr>
            <w:r w:rsidRPr="00EB1552">
              <w:rPr>
                <w:b/>
                <w:sz w:val="24"/>
                <w:szCs w:val="24"/>
              </w:rPr>
              <w:t>Total intermediate consumption</w:t>
            </w:r>
          </w:p>
        </w:tc>
        <w:tc>
          <w:tcPr>
            <w:tcW w:w="771" w:type="pct"/>
            <w:vAlign w:val="bottom"/>
          </w:tcPr>
          <w:p w:rsidR="005A6EF5" w:rsidRPr="00EB1552" w:rsidRDefault="005A6EF5" w:rsidP="00426D31">
            <w:pPr>
              <w:spacing w:line="240" w:lineRule="auto"/>
              <w:ind w:firstLine="0"/>
              <w:jc w:val="right"/>
              <w:rPr>
                <w:b/>
                <w:sz w:val="24"/>
                <w:szCs w:val="24"/>
              </w:rPr>
            </w:pPr>
            <w:r w:rsidRPr="00EB1552">
              <w:rPr>
                <w:b/>
                <w:sz w:val="24"/>
                <w:szCs w:val="24"/>
              </w:rPr>
              <w:t>295 559.7</w:t>
            </w:r>
          </w:p>
        </w:tc>
        <w:tc>
          <w:tcPr>
            <w:tcW w:w="771" w:type="pct"/>
            <w:vAlign w:val="bottom"/>
          </w:tcPr>
          <w:p w:rsidR="005A6EF5" w:rsidRPr="00EB1552" w:rsidRDefault="005A6EF5" w:rsidP="00426D31">
            <w:pPr>
              <w:spacing w:line="240" w:lineRule="auto"/>
              <w:ind w:firstLine="0"/>
              <w:jc w:val="right"/>
              <w:rPr>
                <w:b/>
                <w:sz w:val="24"/>
                <w:szCs w:val="24"/>
              </w:rPr>
            </w:pPr>
            <w:r w:rsidRPr="00EB1552">
              <w:rPr>
                <w:b/>
                <w:sz w:val="24"/>
                <w:szCs w:val="24"/>
              </w:rPr>
              <w:t>360 341.0</w:t>
            </w:r>
          </w:p>
        </w:tc>
        <w:tc>
          <w:tcPr>
            <w:tcW w:w="771" w:type="pct"/>
            <w:shd w:val="clear" w:color="auto" w:fill="auto"/>
            <w:vAlign w:val="bottom"/>
          </w:tcPr>
          <w:p w:rsidR="005A6EF5" w:rsidRPr="00EB1552" w:rsidRDefault="005A6EF5" w:rsidP="00426D31">
            <w:pPr>
              <w:spacing w:line="240" w:lineRule="auto"/>
              <w:ind w:firstLine="0"/>
              <w:jc w:val="right"/>
              <w:rPr>
                <w:b/>
                <w:sz w:val="24"/>
                <w:szCs w:val="24"/>
              </w:rPr>
            </w:pPr>
            <w:r w:rsidRPr="00EB1552">
              <w:rPr>
                <w:b/>
                <w:sz w:val="24"/>
                <w:szCs w:val="24"/>
              </w:rPr>
              <w:t>602 847.7</w:t>
            </w:r>
          </w:p>
        </w:tc>
      </w:tr>
    </w:tbl>
    <w:p w:rsidR="005A6EF5" w:rsidRPr="00BF4D07" w:rsidRDefault="005A6EF5" w:rsidP="005A6EF5">
      <w:pPr>
        <w:spacing w:line="240" w:lineRule="auto"/>
        <w:ind w:firstLine="0"/>
        <w:jc w:val="left"/>
        <w:rPr>
          <w:sz w:val="22"/>
          <w:szCs w:val="22"/>
        </w:rPr>
      </w:pPr>
    </w:p>
    <w:p w:rsidR="005A6EF5" w:rsidRPr="00E62108" w:rsidRDefault="005A6EF5" w:rsidP="005A6EF5">
      <w:pPr>
        <w:pStyle w:val="21"/>
        <w:shd w:val="clear" w:color="auto" w:fill="auto"/>
        <w:tabs>
          <w:tab w:val="left" w:pos="313"/>
          <w:tab w:val="left" w:pos="993"/>
        </w:tabs>
        <w:spacing w:before="0" w:line="240" w:lineRule="auto"/>
        <w:ind w:firstLine="4962"/>
        <w:jc w:val="right"/>
        <w:rPr>
          <w:sz w:val="28"/>
          <w:szCs w:val="28"/>
        </w:rPr>
      </w:pPr>
      <w:r>
        <w:rPr>
          <w:sz w:val="22"/>
          <w:szCs w:val="22"/>
        </w:rPr>
        <w:br w:type="page"/>
      </w:r>
      <w:r w:rsidR="00F320A0">
        <w:rPr>
          <w:sz w:val="28"/>
          <w:szCs w:val="28"/>
        </w:rPr>
        <w:lastRenderedPageBreak/>
        <w:t xml:space="preserve">Appendix </w:t>
      </w:r>
      <w:r w:rsidRPr="00E62108">
        <w:rPr>
          <w:sz w:val="28"/>
          <w:szCs w:val="28"/>
        </w:rPr>
        <w:t>3</w:t>
      </w:r>
    </w:p>
    <w:p w:rsidR="005A6EF5" w:rsidRPr="00E62108" w:rsidRDefault="00F320A0" w:rsidP="005A6EF5">
      <w:pPr>
        <w:pStyle w:val="21"/>
        <w:shd w:val="clear" w:color="auto" w:fill="auto"/>
        <w:tabs>
          <w:tab w:val="left" w:pos="313"/>
          <w:tab w:val="left" w:pos="993"/>
        </w:tabs>
        <w:spacing w:before="0" w:line="240" w:lineRule="auto"/>
        <w:ind w:firstLine="4962"/>
        <w:jc w:val="right"/>
        <w:rPr>
          <w:sz w:val="28"/>
          <w:szCs w:val="28"/>
        </w:rPr>
      </w:pPr>
      <w:r w:rsidRPr="00F320A0">
        <w:rPr>
          <w:sz w:val="28"/>
          <w:szCs w:val="28"/>
        </w:rPr>
        <w:t>to the Methodology for accounting for financial services of second-tier banks</w:t>
      </w:r>
      <w:r w:rsidR="005A6EF5" w:rsidRPr="00E62108">
        <w:rPr>
          <w:sz w:val="28"/>
          <w:szCs w:val="28"/>
        </w:rPr>
        <w:t xml:space="preserve"> </w:t>
      </w:r>
    </w:p>
    <w:p w:rsidR="005A6EF5" w:rsidRDefault="005A6EF5" w:rsidP="005A6EF5">
      <w:pPr>
        <w:spacing w:line="240" w:lineRule="auto"/>
        <w:ind w:firstLine="0"/>
        <w:jc w:val="left"/>
        <w:rPr>
          <w:sz w:val="22"/>
          <w:szCs w:val="22"/>
        </w:rPr>
      </w:pPr>
    </w:p>
    <w:p w:rsidR="005A6EF5" w:rsidRPr="00BF4D07" w:rsidRDefault="005A6EF5" w:rsidP="005A6EF5">
      <w:pPr>
        <w:spacing w:line="240" w:lineRule="auto"/>
        <w:ind w:firstLine="0"/>
        <w:jc w:val="left"/>
        <w:rPr>
          <w:sz w:val="22"/>
          <w:szCs w:val="22"/>
        </w:rPr>
      </w:pPr>
    </w:p>
    <w:p w:rsidR="005A6EF5" w:rsidRDefault="005A6EF5" w:rsidP="005A6EF5">
      <w:pPr>
        <w:spacing w:line="240" w:lineRule="auto"/>
        <w:jc w:val="center"/>
        <w:rPr>
          <w:b/>
          <w:sz w:val="28"/>
          <w:szCs w:val="28"/>
        </w:rPr>
      </w:pPr>
      <w:r w:rsidRPr="004B7947">
        <w:rPr>
          <w:b/>
          <w:sz w:val="28"/>
          <w:szCs w:val="28"/>
        </w:rPr>
        <w:t>Calculation of gross value added</w:t>
      </w:r>
    </w:p>
    <w:p w:rsidR="005A6EF5" w:rsidRPr="004B7947" w:rsidRDefault="005A6EF5" w:rsidP="005A6EF5">
      <w:pPr>
        <w:spacing w:line="240" w:lineRule="auto"/>
        <w:jc w:val="center"/>
        <w:rPr>
          <w:b/>
          <w:sz w:val="28"/>
          <w:szCs w:val="28"/>
        </w:rPr>
      </w:pPr>
      <w:r w:rsidRPr="004B7947">
        <w:rPr>
          <w:rStyle w:val="longtext"/>
          <w:b/>
          <w:sz w:val="28"/>
          <w:szCs w:val="28"/>
          <w:shd w:val="clear" w:color="auto" w:fill="FFFFFF"/>
        </w:rPr>
        <w:t>services of financial activities of second-tier banks</w:t>
      </w:r>
    </w:p>
    <w:p w:rsidR="005A6EF5" w:rsidRDefault="005A6EF5" w:rsidP="005A6EF5">
      <w:pPr>
        <w:spacing w:line="240" w:lineRule="auto"/>
        <w:jc w:val="right"/>
        <w:rPr>
          <w:bCs/>
          <w:sz w:val="22"/>
          <w:szCs w:val="22"/>
        </w:rPr>
      </w:pPr>
    </w:p>
    <w:p w:rsidR="005A6EF5" w:rsidRPr="00EB1552" w:rsidRDefault="005A6EF5" w:rsidP="005A6EF5">
      <w:pPr>
        <w:spacing w:line="240" w:lineRule="auto"/>
        <w:jc w:val="right"/>
        <w:rPr>
          <w:sz w:val="24"/>
          <w:szCs w:val="24"/>
        </w:rPr>
      </w:pPr>
      <w:r w:rsidRPr="00EB1552">
        <w:rPr>
          <w:bCs/>
          <w:sz w:val="24"/>
          <w:szCs w:val="24"/>
        </w:rPr>
        <w:t>million tenge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1"/>
        <w:gridCol w:w="1456"/>
        <w:gridCol w:w="1456"/>
        <w:gridCol w:w="1454"/>
      </w:tblGrid>
      <w:tr w:rsidR="005A6EF5" w:rsidRPr="00EB1552" w:rsidTr="00426D31">
        <w:trPr>
          <w:trHeight w:val="317"/>
          <w:tblHeader/>
        </w:trPr>
        <w:tc>
          <w:tcPr>
            <w:tcW w:w="2733" w:type="pct"/>
            <w:shd w:val="clear" w:color="auto" w:fill="auto"/>
            <w:vAlign w:val="center"/>
          </w:tcPr>
          <w:p w:rsidR="005A6EF5" w:rsidRPr="00EB1552" w:rsidRDefault="005A6EF5" w:rsidP="00426D31">
            <w:pPr>
              <w:spacing w:line="240" w:lineRule="auto"/>
              <w:ind w:firstLine="0"/>
              <w:jc w:val="center"/>
              <w:rPr>
                <w:b/>
                <w:bCs/>
                <w:sz w:val="24"/>
                <w:szCs w:val="24"/>
              </w:rPr>
            </w:pPr>
            <w:r w:rsidRPr="00EB1552">
              <w:rPr>
                <w:b/>
                <w:bCs/>
                <w:sz w:val="24"/>
                <w:szCs w:val="24"/>
              </w:rPr>
              <w:t>Component name</w:t>
            </w:r>
          </w:p>
        </w:tc>
        <w:tc>
          <w:tcPr>
            <w:tcW w:w="756" w:type="pct"/>
            <w:vAlign w:val="center"/>
          </w:tcPr>
          <w:p w:rsidR="005A6EF5" w:rsidRPr="00EB1552" w:rsidRDefault="005A6EF5" w:rsidP="00426D31">
            <w:pPr>
              <w:spacing w:line="240" w:lineRule="auto"/>
              <w:ind w:firstLine="0"/>
              <w:jc w:val="center"/>
              <w:rPr>
                <w:b/>
                <w:bCs/>
                <w:sz w:val="24"/>
                <w:szCs w:val="24"/>
              </w:rPr>
            </w:pPr>
            <w:r w:rsidRPr="00EB1552">
              <w:rPr>
                <w:b/>
                <w:bCs/>
                <w:sz w:val="24"/>
                <w:szCs w:val="24"/>
              </w:rPr>
              <w:t>2013</w:t>
            </w:r>
          </w:p>
        </w:tc>
        <w:tc>
          <w:tcPr>
            <w:tcW w:w="756" w:type="pct"/>
            <w:vAlign w:val="center"/>
          </w:tcPr>
          <w:p w:rsidR="005A6EF5" w:rsidRPr="00EB1552" w:rsidRDefault="005A6EF5" w:rsidP="00426D31">
            <w:pPr>
              <w:spacing w:line="240" w:lineRule="auto"/>
              <w:ind w:firstLine="0"/>
              <w:jc w:val="center"/>
              <w:rPr>
                <w:b/>
                <w:bCs/>
                <w:sz w:val="24"/>
                <w:szCs w:val="24"/>
              </w:rPr>
            </w:pPr>
            <w:r w:rsidRPr="00EB1552">
              <w:rPr>
                <w:b/>
                <w:bCs/>
                <w:sz w:val="24"/>
                <w:szCs w:val="24"/>
              </w:rPr>
              <w:t>2014</w:t>
            </w:r>
          </w:p>
        </w:tc>
        <w:tc>
          <w:tcPr>
            <w:tcW w:w="755" w:type="pct"/>
            <w:shd w:val="clear" w:color="auto" w:fill="auto"/>
            <w:vAlign w:val="center"/>
          </w:tcPr>
          <w:p w:rsidR="005A6EF5" w:rsidRPr="00EB1552" w:rsidRDefault="005A6EF5" w:rsidP="00426D31">
            <w:pPr>
              <w:spacing w:line="240" w:lineRule="auto"/>
              <w:ind w:firstLine="0"/>
              <w:jc w:val="center"/>
              <w:rPr>
                <w:b/>
                <w:bCs/>
                <w:sz w:val="24"/>
                <w:szCs w:val="24"/>
              </w:rPr>
            </w:pPr>
            <w:r w:rsidRPr="00EB1552">
              <w:rPr>
                <w:b/>
                <w:bCs/>
                <w:sz w:val="24"/>
                <w:szCs w:val="24"/>
              </w:rPr>
              <w:t>2015</w:t>
            </w:r>
          </w:p>
        </w:tc>
      </w:tr>
      <w:tr w:rsidR="005A6EF5" w:rsidRPr="00EB1552" w:rsidTr="00426D31">
        <w:trPr>
          <w:trHeight w:val="317"/>
        </w:trPr>
        <w:tc>
          <w:tcPr>
            <w:tcW w:w="2733"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Gross output</w:t>
            </w:r>
          </w:p>
        </w:tc>
        <w:tc>
          <w:tcPr>
            <w:tcW w:w="756" w:type="pct"/>
            <w:vAlign w:val="bottom"/>
          </w:tcPr>
          <w:p w:rsidR="005A6EF5" w:rsidRPr="00EB1552" w:rsidRDefault="005A6EF5" w:rsidP="00426D31">
            <w:pPr>
              <w:spacing w:line="240" w:lineRule="auto"/>
              <w:ind w:firstLine="0"/>
              <w:jc w:val="right"/>
              <w:rPr>
                <w:sz w:val="24"/>
                <w:szCs w:val="24"/>
              </w:rPr>
            </w:pPr>
            <w:r w:rsidRPr="00EB1552">
              <w:rPr>
                <w:sz w:val="24"/>
                <w:szCs w:val="24"/>
              </w:rPr>
              <w:t>595 204.8</w:t>
            </w:r>
          </w:p>
        </w:tc>
        <w:tc>
          <w:tcPr>
            <w:tcW w:w="756" w:type="pct"/>
            <w:vAlign w:val="bottom"/>
          </w:tcPr>
          <w:p w:rsidR="005A6EF5" w:rsidRPr="00EB1552" w:rsidRDefault="005A6EF5" w:rsidP="00426D31">
            <w:pPr>
              <w:spacing w:line="240" w:lineRule="auto"/>
              <w:ind w:firstLine="0"/>
              <w:jc w:val="right"/>
              <w:rPr>
                <w:sz w:val="24"/>
                <w:szCs w:val="24"/>
              </w:rPr>
            </w:pPr>
            <w:r w:rsidRPr="00EB1552">
              <w:rPr>
                <w:sz w:val="24"/>
                <w:szCs w:val="24"/>
              </w:rPr>
              <w:t>765 479.1</w:t>
            </w:r>
          </w:p>
        </w:tc>
        <w:tc>
          <w:tcPr>
            <w:tcW w:w="755"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903 891.7</w:t>
            </w:r>
          </w:p>
        </w:tc>
      </w:tr>
      <w:tr w:rsidR="005A6EF5" w:rsidRPr="00EB1552" w:rsidTr="00426D31">
        <w:trPr>
          <w:trHeight w:val="119"/>
        </w:trPr>
        <w:tc>
          <w:tcPr>
            <w:tcW w:w="2733"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Intermediate consumption</w:t>
            </w:r>
          </w:p>
        </w:tc>
        <w:tc>
          <w:tcPr>
            <w:tcW w:w="756" w:type="pct"/>
            <w:vAlign w:val="bottom"/>
          </w:tcPr>
          <w:p w:rsidR="005A6EF5" w:rsidRPr="00EB1552" w:rsidRDefault="005A6EF5" w:rsidP="00426D31">
            <w:pPr>
              <w:spacing w:line="240" w:lineRule="auto"/>
              <w:ind w:firstLine="0"/>
              <w:jc w:val="right"/>
              <w:rPr>
                <w:sz w:val="24"/>
                <w:szCs w:val="24"/>
              </w:rPr>
            </w:pPr>
            <w:r w:rsidRPr="00EB1552">
              <w:rPr>
                <w:sz w:val="24"/>
                <w:szCs w:val="24"/>
              </w:rPr>
              <w:t>295 559.7</w:t>
            </w:r>
          </w:p>
        </w:tc>
        <w:tc>
          <w:tcPr>
            <w:tcW w:w="756" w:type="pct"/>
            <w:vAlign w:val="bottom"/>
          </w:tcPr>
          <w:p w:rsidR="005A6EF5" w:rsidRPr="00EB1552" w:rsidRDefault="005A6EF5" w:rsidP="00426D31">
            <w:pPr>
              <w:spacing w:line="240" w:lineRule="auto"/>
              <w:ind w:firstLine="0"/>
              <w:jc w:val="right"/>
              <w:rPr>
                <w:sz w:val="24"/>
                <w:szCs w:val="24"/>
              </w:rPr>
            </w:pPr>
            <w:r w:rsidRPr="00EB1552">
              <w:rPr>
                <w:sz w:val="24"/>
                <w:szCs w:val="24"/>
              </w:rPr>
              <w:t>360 341.0</w:t>
            </w:r>
          </w:p>
        </w:tc>
        <w:tc>
          <w:tcPr>
            <w:tcW w:w="755" w:type="pct"/>
            <w:shd w:val="clear" w:color="auto" w:fill="auto"/>
            <w:vAlign w:val="bottom"/>
          </w:tcPr>
          <w:p w:rsidR="005A6EF5" w:rsidRPr="00EB1552" w:rsidRDefault="005A6EF5" w:rsidP="00426D31">
            <w:pPr>
              <w:spacing w:line="240" w:lineRule="auto"/>
              <w:ind w:firstLine="0"/>
              <w:jc w:val="right"/>
              <w:rPr>
                <w:sz w:val="24"/>
                <w:szCs w:val="24"/>
              </w:rPr>
            </w:pPr>
            <w:r w:rsidRPr="00EB1552">
              <w:rPr>
                <w:sz w:val="24"/>
                <w:szCs w:val="24"/>
              </w:rPr>
              <w:t>602 847.7</w:t>
            </w:r>
          </w:p>
        </w:tc>
      </w:tr>
      <w:tr w:rsidR="005A6EF5" w:rsidRPr="00EB1552" w:rsidTr="00426D31">
        <w:trPr>
          <w:trHeight w:val="147"/>
        </w:trPr>
        <w:tc>
          <w:tcPr>
            <w:tcW w:w="2733" w:type="pct"/>
            <w:shd w:val="clear" w:color="auto" w:fill="auto"/>
            <w:vAlign w:val="bottom"/>
          </w:tcPr>
          <w:p w:rsidR="005A6EF5" w:rsidRPr="00EB1552" w:rsidRDefault="005A6EF5" w:rsidP="00426D31">
            <w:pPr>
              <w:spacing w:line="240" w:lineRule="auto"/>
              <w:ind w:firstLine="0"/>
              <w:jc w:val="left"/>
              <w:rPr>
                <w:sz w:val="24"/>
                <w:szCs w:val="24"/>
              </w:rPr>
            </w:pPr>
            <w:r w:rsidRPr="00EB1552">
              <w:rPr>
                <w:sz w:val="24"/>
                <w:szCs w:val="24"/>
              </w:rPr>
              <w:t>Gross value added</w:t>
            </w:r>
          </w:p>
        </w:tc>
        <w:tc>
          <w:tcPr>
            <w:tcW w:w="756" w:type="pct"/>
            <w:vAlign w:val="bottom"/>
          </w:tcPr>
          <w:p w:rsidR="005A6EF5" w:rsidRPr="00EB1552" w:rsidRDefault="005A6EF5" w:rsidP="00426D31">
            <w:pPr>
              <w:spacing w:line="240" w:lineRule="auto"/>
              <w:ind w:firstLine="0"/>
              <w:jc w:val="right"/>
              <w:rPr>
                <w:b/>
                <w:sz w:val="24"/>
                <w:szCs w:val="24"/>
              </w:rPr>
            </w:pPr>
            <w:r w:rsidRPr="00EB1552">
              <w:rPr>
                <w:b/>
                <w:sz w:val="24"/>
                <w:szCs w:val="24"/>
              </w:rPr>
              <w:t>299 645.1</w:t>
            </w:r>
          </w:p>
        </w:tc>
        <w:tc>
          <w:tcPr>
            <w:tcW w:w="756" w:type="pct"/>
            <w:vAlign w:val="bottom"/>
          </w:tcPr>
          <w:p w:rsidR="005A6EF5" w:rsidRPr="00EB1552" w:rsidRDefault="005A6EF5" w:rsidP="00426D31">
            <w:pPr>
              <w:spacing w:line="240" w:lineRule="auto"/>
              <w:ind w:firstLine="0"/>
              <w:jc w:val="right"/>
              <w:rPr>
                <w:b/>
                <w:sz w:val="24"/>
                <w:szCs w:val="24"/>
              </w:rPr>
            </w:pPr>
            <w:r w:rsidRPr="00EB1552">
              <w:rPr>
                <w:b/>
                <w:sz w:val="24"/>
                <w:szCs w:val="24"/>
              </w:rPr>
              <w:t>405 138.1</w:t>
            </w:r>
          </w:p>
        </w:tc>
        <w:tc>
          <w:tcPr>
            <w:tcW w:w="755" w:type="pct"/>
            <w:shd w:val="clear" w:color="auto" w:fill="auto"/>
            <w:vAlign w:val="bottom"/>
          </w:tcPr>
          <w:p w:rsidR="005A6EF5" w:rsidRPr="00EB1552" w:rsidRDefault="005A6EF5" w:rsidP="00426D31">
            <w:pPr>
              <w:spacing w:line="240" w:lineRule="auto"/>
              <w:ind w:firstLine="0"/>
              <w:jc w:val="right"/>
              <w:rPr>
                <w:b/>
                <w:sz w:val="24"/>
                <w:szCs w:val="24"/>
              </w:rPr>
            </w:pPr>
            <w:r w:rsidRPr="00EB1552">
              <w:rPr>
                <w:b/>
                <w:sz w:val="24"/>
                <w:szCs w:val="24"/>
              </w:rPr>
              <w:t>301 044.0</w:t>
            </w:r>
          </w:p>
        </w:tc>
      </w:tr>
    </w:tbl>
    <w:p w:rsidR="005A6EF5" w:rsidRPr="00BF4D07" w:rsidRDefault="005A6EF5" w:rsidP="005A6EF5">
      <w:pPr>
        <w:spacing w:line="240" w:lineRule="auto"/>
      </w:pPr>
    </w:p>
    <w:p w:rsidR="00986588" w:rsidRDefault="00986588"/>
    <w:sectPr w:rsidR="00986588" w:rsidSect="00BA46A6">
      <w:headerReference w:type="even" r:id="rId8"/>
      <w:headerReference w:type="default" r:id="rId9"/>
      <w:footerReference w:type="even" r:id="rId10"/>
      <w:footerReference w:type="default" r:id="rId1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0B" w:rsidRDefault="001E5A0B">
      <w:pPr>
        <w:spacing w:line="240" w:lineRule="auto"/>
      </w:pPr>
      <w:r>
        <w:separator/>
      </w:r>
    </w:p>
  </w:endnote>
  <w:endnote w:type="continuationSeparator" w:id="0">
    <w:p w:rsidR="001E5A0B" w:rsidRDefault="001E5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5B" w:rsidRDefault="005A6EF5" w:rsidP="00652E5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52E5B" w:rsidRDefault="001E5A0B" w:rsidP="00652E5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5B" w:rsidRDefault="001E5A0B" w:rsidP="00652E5B">
    <w:pPr>
      <w:pStyle w:val="a5"/>
      <w:framePr w:wrap="around" w:vAnchor="text" w:hAnchor="margin" w:xAlign="right" w:y="1"/>
      <w:rPr>
        <w:rStyle w:val="a7"/>
      </w:rPr>
    </w:pPr>
  </w:p>
  <w:p w:rsidR="00652E5B" w:rsidRDefault="001E5A0B" w:rsidP="00652E5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0B" w:rsidRDefault="001E5A0B">
      <w:pPr>
        <w:spacing w:line="240" w:lineRule="auto"/>
      </w:pPr>
      <w:r>
        <w:separator/>
      </w:r>
    </w:p>
  </w:footnote>
  <w:footnote w:type="continuationSeparator" w:id="0">
    <w:p w:rsidR="001E5A0B" w:rsidRDefault="001E5A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5B" w:rsidRDefault="005A6EF5" w:rsidP="00652E5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2E5B" w:rsidRDefault="001E5A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5B" w:rsidRDefault="005A6EF5" w:rsidP="00652E5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7B83">
      <w:rPr>
        <w:rStyle w:val="a7"/>
        <w:noProof/>
      </w:rPr>
      <w:t>10</w:t>
    </w:r>
    <w:r>
      <w:rPr>
        <w:rStyle w:val="a7"/>
      </w:rPr>
      <w:fldChar w:fldCharType="end"/>
    </w:r>
  </w:p>
  <w:p w:rsidR="00652E5B" w:rsidRDefault="001E5A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A5F"/>
    <w:multiLevelType w:val="hybridMultilevel"/>
    <w:tmpl w:val="0E44A8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D20F38"/>
    <w:multiLevelType w:val="hybridMultilevel"/>
    <w:tmpl w:val="0136B0FC"/>
    <w:lvl w:ilvl="0" w:tplc="594C10E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1E5A0B"/>
    <w:rsid w:val="002B4E1B"/>
    <w:rsid w:val="002D7B83"/>
    <w:rsid w:val="00484F36"/>
    <w:rsid w:val="005A6EF5"/>
    <w:rsid w:val="00986588"/>
    <w:rsid w:val="00F32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BD7C"/>
  <w15:chartTrackingRefBased/>
  <w15:docId w15:val="{538F4736-EDFF-41C8-83B6-E236046C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EF5"/>
    <w:pPr>
      <w:spacing w:after="0" w:line="360" w:lineRule="auto"/>
      <w:ind w:firstLine="709"/>
      <w:jc w:val="both"/>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5A6EF5"/>
    <w:pPr>
      <w:spacing w:before="100" w:beforeAutospacing="1" w:after="100" w:afterAutospacing="1" w:line="240" w:lineRule="auto"/>
      <w:ind w:firstLine="0"/>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EF5"/>
    <w:rPr>
      <w:rFonts w:ascii="Times New Roman" w:eastAsia="Times New Roman" w:hAnsi="Times New Roman" w:cs="Times New Roman"/>
      <w:b/>
      <w:bCs/>
      <w:kern w:val="36"/>
      <w:sz w:val="48"/>
      <w:szCs w:val="48"/>
      <w:lang w:val="en" w:eastAsia="ru-RU"/>
    </w:rPr>
  </w:style>
  <w:style w:type="paragraph" w:styleId="a3">
    <w:name w:val="header"/>
    <w:basedOn w:val="a"/>
    <w:link w:val="a4"/>
    <w:rsid w:val="005A6EF5"/>
    <w:pPr>
      <w:tabs>
        <w:tab w:val="center" w:pos="4153"/>
        <w:tab w:val="right" w:pos="8306"/>
      </w:tabs>
      <w:spacing w:line="240" w:lineRule="auto"/>
      <w:ind w:firstLine="0"/>
      <w:jc w:val="left"/>
    </w:pPr>
  </w:style>
  <w:style w:type="character" w:customStyle="1" w:styleId="a4">
    <w:name w:val="Верхний колонтитул Знак"/>
    <w:basedOn w:val="a0"/>
    <w:link w:val="a3"/>
    <w:rsid w:val="005A6EF5"/>
    <w:rPr>
      <w:rFonts w:ascii="Times New Roman" w:eastAsia="Times New Roman" w:hAnsi="Times New Roman" w:cs="Times New Roman"/>
      <w:sz w:val="20"/>
      <w:szCs w:val="20"/>
      <w:lang w:val="en" w:eastAsia="ru-RU"/>
    </w:rPr>
  </w:style>
  <w:style w:type="paragraph" w:styleId="2">
    <w:name w:val="Body Text 2"/>
    <w:basedOn w:val="a"/>
    <w:link w:val="20"/>
    <w:rsid w:val="005A6EF5"/>
    <w:pPr>
      <w:spacing w:line="240" w:lineRule="auto"/>
      <w:ind w:firstLine="0"/>
      <w:jc w:val="center"/>
    </w:pPr>
    <w:rPr>
      <w:b/>
      <w:sz w:val="28"/>
      <w:lang w:eastAsia="x-none"/>
    </w:rPr>
  </w:style>
  <w:style w:type="character" w:customStyle="1" w:styleId="20">
    <w:name w:val="Основной текст 2 Знак"/>
    <w:basedOn w:val="a0"/>
    <w:link w:val="2"/>
    <w:rsid w:val="005A6EF5"/>
    <w:rPr>
      <w:rFonts w:ascii="Times New Roman" w:eastAsia="Times New Roman" w:hAnsi="Times New Roman" w:cs="Times New Roman"/>
      <w:b/>
      <w:sz w:val="28"/>
      <w:szCs w:val="20"/>
      <w:lang w:val="en" w:eastAsia="x-none"/>
    </w:rPr>
  </w:style>
  <w:style w:type="paragraph" w:styleId="a5">
    <w:name w:val="footer"/>
    <w:basedOn w:val="a"/>
    <w:link w:val="a6"/>
    <w:rsid w:val="005A6EF5"/>
    <w:pPr>
      <w:tabs>
        <w:tab w:val="center" w:pos="4677"/>
        <w:tab w:val="right" w:pos="9355"/>
      </w:tabs>
      <w:spacing w:line="240" w:lineRule="auto"/>
      <w:ind w:firstLine="0"/>
      <w:jc w:val="left"/>
    </w:pPr>
  </w:style>
  <w:style w:type="character" w:customStyle="1" w:styleId="a6">
    <w:name w:val="Нижний колонтитул Знак"/>
    <w:basedOn w:val="a0"/>
    <w:link w:val="a5"/>
    <w:rsid w:val="005A6EF5"/>
    <w:rPr>
      <w:rFonts w:ascii="Times New Roman" w:eastAsia="Times New Roman" w:hAnsi="Times New Roman" w:cs="Times New Roman"/>
      <w:sz w:val="20"/>
      <w:szCs w:val="20"/>
      <w:lang w:val="en" w:eastAsia="ru-RU"/>
    </w:rPr>
  </w:style>
  <w:style w:type="character" w:styleId="a7">
    <w:name w:val="page number"/>
    <w:basedOn w:val="a0"/>
    <w:rsid w:val="005A6EF5"/>
  </w:style>
  <w:style w:type="character" w:customStyle="1" w:styleId="longtext">
    <w:name w:val="long_text"/>
    <w:basedOn w:val="a0"/>
    <w:rsid w:val="005A6EF5"/>
  </w:style>
  <w:style w:type="character" w:customStyle="1" w:styleId="hps">
    <w:name w:val="hps"/>
    <w:basedOn w:val="a0"/>
    <w:rsid w:val="005A6EF5"/>
  </w:style>
  <w:style w:type="paragraph" w:styleId="a8">
    <w:name w:val="Normal (Web)"/>
    <w:basedOn w:val="a"/>
    <w:rsid w:val="005A6EF5"/>
    <w:pPr>
      <w:spacing w:before="100" w:beforeAutospacing="1" w:after="100" w:afterAutospacing="1" w:line="240" w:lineRule="auto"/>
      <w:ind w:firstLine="0"/>
      <w:jc w:val="left"/>
    </w:pPr>
    <w:rPr>
      <w:rFonts w:ascii="Trebuchet MS" w:hAnsi="Trebuchet MS"/>
      <w:sz w:val="24"/>
      <w:szCs w:val="24"/>
    </w:rPr>
  </w:style>
  <w:style w:type="paragraph" w:customStyle="1" w:styleId="Default">
    <w:name w:val="Default"/>
    <w:rsid w:val="005A6E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List Paragraph"/>
    <w:basedOn w:val="a"/>
    <w:uiPriority w:val="34"/>
    <w:qFormat/>
    <w:rsid w:val="005A6EF5"/>
    <w:pPr>
      <w:ind w:left="720"/>
      <w:contextualSpacing/>
    </w:pPr>
    <w:rPr>
      <w:sz w:val="24"/>
      <w:szCs w:val="24"/>
    </w:rPr>
  </w:style>
  <w:style w:type="character" w:customStyle="1" w:styleId="aa">
    <w:name w:val="Основной текст_"/>
    <w:link w:val="21"/>
    <w:uiPriority w:val="99"/>
    <w:locked/>
    <w:rsid w:val="005A6EF5"/>
    <w:rPr>
      <w:sz w:val="26"/>
      <w:szCs w:val="26"/>
      <w:shd w:val="clear" w:color="auto" w:fill="FFFFFF"/>
    </w:rPr>
  </w:style>
  <w:style w:type="paragraph" w:customStyle="1" w:styleId="21">
    <w:name w:val="Основной текст2"/>
    <w:basedOn w:val="a"/>
    <w:link w:val="aa"/>
    <w:uiPriority w:val="99"/>
    <w:rsid w:val="005A6EF5"/>
    <w:pPr>
      <w:widowControl w:val="0"/>
      <w:shd w:val="clear" w:color="auto" w:fill="FFFFFF"/>
      <w:spacing w:before="360" w:line="317" w:lineRule="exact"/>
      <w:ind w:hanging="260"/>
      <w:jc w:val="center"/>
    </w:pPr>
    <w:rPr>
      <w:rFonts w:asciiTheme="minorHAnsi" w:eastAsiaTheme="minorHAnsi" w:hAnsiTheme="minorHAnsi" w:cstheme="minorBidi"/>
      <w:sz w:val="26"/>
      <w:szCs w:val="2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ru/url?q=http://statinfo.biz/HTML/M1F247A1028L1.aspx&amp;sa=U&amp;ei=FSy-TuT2BsjqOaKHgb4B&amp;ved=0CCMQFjAI&amp;usg=AFQjCNF8MQ-qkq9yqyHbux9_aizPYHWV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2752</Words>
  <Characters>15689</Characters>
  <Application>Microsoft Office Word</Application>
  <DocSecurity>0</DocSecurity>
  <Lines>130</Lines>
  <Paragraphs>36</Paragraphs>
  <ScaleCrop>false</ScaleCrop>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2023-05-26T05:14:00Z</dcterms:created>
  <dcterms:modified xsi:type="dcterms:W3CDTF">2023-05-26T05:28:00Z</dcterms:modified>
</cp:coreProperties>
</file>